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государственный (муниципальный) заказчик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(подрядчик, исполнитель):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суммы неустойки, удержанной из оплаты по контракту, и процентов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суммы неустойки [сумма] рублей, удержанной из оплаты по контракту, как неосновательного обогащения.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удержанную неустойку, суд не учёл, что удержание предусмотрено контрактом и законом, неустойка начислена правильно, условий для её списания не было, а основания для снижения отсутствуют (пункты 1 и 4 части 1 статьи 270 АПК РФ).</w:t>
      </w:r>
    </w:p>
    <w:p>
      <w:pPr>
        <w:spacing w:after="120" w:line="276" w:lineRule="auto"/>
        <w:ind w:firstLine="709"/>
        <w:jc w:val="both"/>
      </w:pPr>
      <w:r>
        <w:rPr>
          <w:rFonts w:ascii="Times New Roman" w:hAnsi="Times New Roman"/>
          <w:b/>
          <w:i w:val="0"/>
          <w:sz w:val="24"/>
        </w:rPr>
        <w:t>Удержание предусмотрено контрактом и законом.</w:t>
      </w:r>
      <w:r>
        <w:rPr>
          <w:rFonts w:ascii="Times New Roman" w:hAnsi="Times New Roman"/>
          <w:b w:val="0"/>
          <w:i w:val="0"/>
          <w:sz w:val="24"/>
        </w:rPr>
        <w:t xml:space="preserve"> Пунктом 2 части 14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что в контракт могут быть включены условия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Пунктом [__] контракта такое условие предусмотрено; требование об уплате неустойки направлено поставщику «[дата]» (часть 6 статьи 34: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pPr>
        <w:spacing w:after="120" w:line="276" w:lineRule="auto"/>
        <w:ind w:firstLine="709"/>
        <w:jc w:val="both"/>
      </w:pPr>
      <w:r>
        <w:rPr>
          <w:rFonts w:ascii="Times New Roman" w:hAnsi="Times New Roman"/>
          <w:b/>
          <w:i w:val="0"/>
          <w:sz w:val="24"/>
        </w:rPr>
        <w:t>Неустойка начислена правильно.</w:t>
      </w:r>
      <w:r>
        <w:rPr>
          <w:rFonts w:ascii="Times New Roman" w:hAnsi="Times New Roman"/>
          <w:b w:val="0"/>
          <w:i w:val="0"/>
          <w:sz w:val="24"/>
        </w:rPr>
        <w:t xml:space="preserve"> Частью 7 статьи 34 Закона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Расчёт: [цена контракта [сумма] − стоимость исполненного в срок [сумма]] × 1/300 ключевой ставки × [__] дней просрочки = [сумма] рублей. Поставщик не доказал обстоятельств, освобождающих от ответственности (часть 9 статьи 34: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i w:val="0"/>
          <w:sz w:val="24"/>
        </w:rPr>
        <w:t>Условия для списания неустойки отсутствовали.</w:t>
      </w:r>
      <w:r>
        <w:rPr>
          <w:rFonts w:ascii="Times New Roman" w:hAnsi="Times New Roman"/>
          <w:b w:val="0"/>
          <w:i w:val="0"/>
          <w:sz w:val="24"/>
        </w:rPr>
        <w:t xml:space="preserve"> Частью 9.1 статьи 34 Закона № 44-ФЗ установлено: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Правила списания (постановление Правительства РФ от 04.07.2018 № 783) применяются лишь при соблюдении установленных ими условий, в том числе [полного исполнения контракта и соотношения суммы неустойки с ценой контракта]; [контракт исполнен не в полном объёме / сумма неустойки превышает предел] — поэтому основания для списания не было.</w:t>
      </w:r>
    </w:p>
    <w:p>
      <w:pPr>
        <w:spacing w:after="120" w:line="276" w:lineRule="auto"/>
        <w:ind w:firstLine="709"/>
        <w:jc w:val="both"/>
      </w:pPr>
      <w:r>
        <w:rPr>
          <w:rFonts w:ascii="Times New Roman" w:hAnsi="Times New Roman"/>
          <w:b/>
          <w:i w:val="0"/>
          <w:sz w:val="24"/>
        </w:rPr>
        <w:t>Основания для снижения неустойки отсутствуют.</w:t>
      </w:r>
      <w:r>
        <w:rPr>
          <w:rFonts w:ascii="Times New Roman" w:hAnsi="Times New Roman"/>
          <w:b w:val="0"/>
          <w:i w:val="0"/>
          <w:sz w:val="24"/>
        </w:rPr>
        <w:t xml:space="preserve"> Пунктом 2 статьи 333 ГК РФ установлено: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Размер пени установлен законом (1/300 ключевой ставки) и сам по себе соразмерен; исключительных обстоятельств истец не привёл. Кроме того, удержанная неустойка уже уплачена, и её снижение возможно только при доказанности явной несоразмерности.</w:t>
      </w:r>
    </w:p>
    <w:p>
      <w:pPr>
        <w:spacing w:after="120" w:line="276" w:lineRule="auto"/>
        <w:ind w:firstLine="709"/>
        <w:jc w:val="both"/>
      </w:pPr>
      <w:r>
        <w:rPr>
          <w:rFonts w:ascii="Times New Roman" w:hAnsi="Times New Roman"/>
          <w:b/>
          <w:i w:val="0"/>
          <w:sz w:val="24"/>
        </w:rPr>
        <w:t>Неосновательного обогащения нет.</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Сумма удержана на основании контракта, то есть сделки.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34 Федерального закона № 44-ФЗ, статьями 333, 1102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