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вселении в жилое помещение и устранении препятствий в пользовании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вселении истца в жилое помещение по адресу [__] и обязании ответчика не чинить препятствия в пользовании [и передать ключи].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Вселяя истца, суд исходил лишь из наличия у него права на долю и не оценил нуждаемость истца в помещении, невозможность совместного проживания и отсутствие препятствий со стороны ответчика (пункты 1 и 3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собственности на долю не означает безусловного права на вселение.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247 Гражданского кодекса Российской Федерации (далее — ГК РФ) установлено: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 Пунктом 2 той же статьи: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 Право участника долевой собственности на пользование реализуется в соответствии с соглашением или порядком, установленным судом, с учётом нуждаемости и возможности совместного проживания. Вселение без определения порядка пользования в квартиру, где проживает другая семья, невозможно без нарушения её прав.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нуждается в проживании в спорном помещении.</w:t>
      </w:r>
      <w:r>
        <w:rPr>
          <w:rFonts w:ascii="Times New Roman" w:hAnsi="Times New Roman"/>
          <w:b w:val="0"/>
          <w:i w:val="0"/>
          <w:sz w:val="24"/>
        </w:rPr>
        <w:t xml:space="preserve"> Истец [проживает в другой квартире, принадлежащей ему на праве собственности / зарегистрирован и живёт по адресу __ / с «[дата]» в квартиру не вселялся и не пытался]. Иск о вселении предъявлен не для проживания, а [как способ давления с целью продажи доли / для вселения посторонних лиц]. Пунктом 2 статьи 209 ГК РФ установлено: «Собственник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Совместное проживание невозможно.</w:t>
      </w:r>
      <w:r>
        <w:rPr>
          <w:rFonts w:ascii="Times New Roman" w:hAnsi="Times New Roman"/>
          <w:b w:val="0"/>
          <w:i w:val="0"/>
          <w:sz w:val="24"/>
        </w:rPr>
        <w:t xml:space="preserve"> Квартира [однокомнатная / двухкомнатная общей площадью __ кв. м], в ней проживает ответчик с семьёй [__ человек, в том числе несовершеннолетние]. На долю истца приходится [__] кв. м; изолированного помещения, соответствующего его доле, нет. Стороны [не являются членами одной семьи / находятся в конфликтных отношениях]. Вселение повлечёт существенное нарушение прав ответчика и детей.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Препятствий ответчик не чинил.</w:t>
      </w:r>
      <w:r>
        <w:rPr>
          <w:rFonts w:ascii="Times New Roman" w:hAnsi="Times New Roman"/>
          <w:b w:val="0"/>
          <w:i w:val="0"/>
          <w:sz w:val="24"/>
        </w:rPr>
        <w:t xml:space="preserve"> Истец ключи не запрашивал [либо ответчик передавал ключи — переписка прилагается], в квартиру не приходил. Обращение в полицию от «[дата]» [проверкой не подтвердилось / касалось иного конфликта]. Статьёй 304 ГК РФ защищаются только реальные нарушения: «Собственник может требовать устранения всяких нарушений его права, хотя бы эти нарушения и не были соединены с лишением владения.»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Альтернатива — компенсация за пользование долей.</w:t>
      </w:r>
      <w:r>
        <w:rPr>
          <w:rFonts w:ascii="Times New Roman" w:hAnsi="Times New Roman"/>
          <w:b w:val="0"/>
          <w:i w:val="0"/>
          <w:sz w:val="24"/>
        </w:rPr>
        <w:t xml:space="preserve"> Если предоставить истцу часть помещения невозможно, его интерес защищается не вселением, а денежной компенсацией за пользование ответчиком его долей (пункт 2 статьи 247 ГК РФ), [либо выкупом доли — ответчик готов выкупить долю истца по рыночной стоимости].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члена семьи нанимателя / собственника:] Истец утратил право пользования.</w:t>
      </w:r>
      <w:r>
        <w:rPr>
          <w:rFonts w:ascii="Times New Roman" w:hAnsi="Times New Roman"/>
          <w:b w:val="0"/>
          <w:i w:val="0"/>
          <w:sz w:val="24"/>
        </w:rPr>
        <w:t xml:space="preserve"> Истец добровольно выехал «[дата]» на другое постоянное место жительства, вывез вещи, обязанностей по оплате не исполнял. Статьёй 71 ЖК РФ право сохраняется лишь за временно отсутствующими: «Временное отсутствие нанимателя жилого помещения по договору социального найма, кого-либо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найма.» Суд этот довод ответчика не оценил.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247 ГК РФ, 71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