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долга по договору займа (расписке), процентов и неустойки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долга по договору займа (расписке) от «[дата]» [сумма] рублей, процентов за пользование займом и процентов по статье 395 ГК РФ.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долг, суд не учёл частичный [полный] возврат займа, оспаривание расписки по безденежности и подлинности, а также то, что срок возврата не наступил [требование о возврате не предъявлялось] (пункты 1, 2 и 4 части 1 статьи 330 ГПК РФ).</w:t>
      </w:r>
    </w:p>
    <w:p>
      <w:pPr>
        <w:spacing w:after="120" w:line="276" w:lineRule="auto"/>
        <w:ind w:firstLine="709"/>
        <w:jc w:val="both"/>
      </w:pPr>
      <w:r>
        <w:rPr>
          <w:rFonts w:ascii="Times New Roman" w:hAnsi="Times New Roman"/>
          <w:b/>
          <w:i w:val="0"/>
          <w:sz w:val="24"/>
        </w:rPr>
        <w:t>Долг возвращён [частично].</w:t>
      </w:r>
      <w:r>
        <w:rPr>
          <w:rFonts w:ascii="Times New Roman" w:hAnsi="Times New Roman"/>
          <w:b w:val="0"/>
          <w:i w:val="0"/>
          <w:sz w:val="24"/>
        </w:rPr>
        <w:t xml:space="preserve"> Пунктом 1 статьи 810 Гражданского кодекса Российской Федерации (далее — ГК РФ) установлено: «Заемщик обязан возвратить займодавцу полученную сумму займа в срок и в порядке, которые предусмотрены договором займа.» Ответчик возвратил [сумма] рублей [переводами на карту истца от «[дата]» с назначением «возврат долга» / наличными — расписка истца от «[дата]»]. Остаток долга составляет [сумма] рублей [отсутствует].</w:t>
      </w:r>
    </w:p>
    <w:p>
      <w:pPr>
        <w:spacing w:after="120" w:line="276" w:lineRule="auto"/>
        <w:ind w:firstLine="709"/>
        <w:jc w:val="both"/>
      </w:pPr>
      <w:r>
        <w:rPr>
          <w:rFonts w:ascii="Times New Roman" w:hAnsi="Times New Roman"/>
          <w:b/>
          <w:i w:val="0"/>
          <w:sz w:val="24"/>
        </w:rPr>
        <w:t>Расписка не подтверждает получение денег [безденежность].</w:t>
      </w:r>
      <w:r>
        <w:rPr>
          <w:rFonts w:ascii="Times New Roman" w:hAnsi="Times New Roman"/>
          <w:b w:val="0"/>
          <w:i w:val="0"/>
          <w:sz w:val="24"/>
        </w:rPr>
        <w:t xml:space="preserve"> Пунктом 1 статьи 812 ГК РФ: «Заемщик вправе доказывать, что предмет договора займа в действительности не поступил в его распоряжение или поступил не полностью (оспаривание займа по безденежности).» [Расписка написана под влиянием [угрозы, обмана — заявление в полицию от «[дата]»] / оформила не заём, а [долг по совместной деятельности, раздел имущества]; деньги фактически не передавались.] [Встречный иск ответчика о признании займа незаключённым суд необоснованно отклонил.]</w:t>
      </w:r>
    </w:p>
    <w:p>
      <w:pPr>
        <w:spacing w:after="120" w:line="276" w:lineRule="auto"/>
        <w:ind w:firstLine="709"/>
        <w:jc w:val="both"/>
      </w:pPr>
      <w:r>
        <w:rPr>
          <w:rFonts w:ascii="Times New Roman" w:hAnsi="Times New Roman"/>
          <w:b/>
          <w:i w:val="0"/>
          <w:sz w:val="24"/>
        </w:rPr>
        <w:t>Подлинность расписки оспаривается [если применимо].</w:t>
      </w:r>
      <w:r>
        <w:rPr>
          <w:rFonts w:ascii="Times New Roman" w:hAnsi="Times New Roman"/>
          <w:b w:val="0"/>
          <w:i w:val="0"/>
          <w:sz w:val="24"/>
        </w:rPr>
        <w:t xml:space="preserve"> Ответчик расписку не писал [подпись выполнена не им];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почерковедческой экспертизы; подлинник расписки суд у истца не истребовал.</w:t>
      </w:r>
    </w:p>
    <w:p>
      <w:pPr>
        <w:spacing w:after="120" w:line="276" w:lineRule="auto"/>
        <w:ind w:firstLine="709"/>
        <w:jc w:val="both"/>
      </w:pPr>
      <w:r>
        <w:rPr>
          <w:rFonts w:ascii="Times New Roman" w:hAnsi="Times New Roman"/>
          <w:b/>
          <w:i w:val="0"/>
          <w:sz w:val="24"/>
        </w:rPr>
        <w:t>Срок возврата не наступил [или требование о возврате не предъявлялось].</w:t>
      </w:r>
      <w:r>
        <w:rPr>
          <w:rFonts w:ascii="Times New Roman" w:hAnsi="Times New Roman"/>
          <w:b w:val="0"/>
          <w:i w:val="0"/>
          <w:sz w:val="24"/>
        </w:rPr>
        <w:t xml:space="preserve"> Абзацем вторым пункта 1 статьи 810 ГК РФ: «В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займодавцем требования об этом, если иное не предусмотрено договором.» Требование о возврате истец направил «[дата]», тридцатидневный срок истёк «[дата]». Проценты по статье 395 ГК РФ до этой даты не начисляются.</w:t>
      </w:r>
    </w:p>
    <w:p>
      <w:pPr>
        <w:spacing w:after="120" w:line="276" w:lineRule="auto"/>
        <w:ind w:firstLine="709"/>
        <w:jc w:val="both"/>
      </w:pPr>
      <w:r>
        <w:rPr>
          <w:rFonts w:ascii="Times New Roman" w:hAnsi="Times New Roman"/>
          <w:b/>
          <w:i w:val="0"/>
          <w:sz w:val="24"/>
        </w:rPr>
        <w:t>Проценты за пользование займом.</w:t>
      </w:r>
      <w:r>
        <w:rPr>
          <w:rFonts w:ascii="Times New Roman" w:hAnsi="Times New Roman"/>
          <w:b w:val="0"/>
          <w:i w:val="0"/>
          <w:sz w:val="24"/>
        </w:rPr>
        <w:t xml:space="preserve"> [Заём до ста тысяч рублей между гражданами беспроцентный, если иное не указано (пункт 4 статьи 809 ГК РФ: «Договор займа предполагается беспроцентным, если в нем прямо не предусмотрено иное, в случаях, когда:» «договор заключен между гражданами, в том числе индивидуальными предпринимателями, на сумму, не превышающую ста тысяч рублей») / ставка чрезмерно обременительна и подлежит снижению (пункт 5 статьи 809 ГК РФ: «Размер процентов за пользование займом по договору займа, заключенному между гражданами или между юридическим лицом, не осуществляющим профессиональной деятельности по предоставлению потребительских займов, и заемщиком-гражданином, в два и более раза превышающий обычно взимаемые в подобных случаях проценты и поэтому являющийся чрезмерно обременительным для должника (ростовщические проценты), может быть уменьшен судом до размера процентов, обычно взимаемых при сравнимых обстоятельствах.»).]</w:t>
      </w:r>
    </w:p>
    <w:p>
      <w:pPr>
        <w:spacing w:after="120" w:line="276" w:lineRule="auto"/>
        <w:ind w:firstLine="709"/>
        <w:jc w:val="both"/>
      </w:pPr>
      <w:r>
        <w:rPr>
          <w:rFonts w:ascii="Times New Roman" w:hAnsi="Times New Roman"/>
          <w:b/>
          <w:i w:val="0"/>
          <w:sz w:val="24"/>
        </w:rPr>
        <w:t>Проценты по статье 395 ГК РФ рассчитаны неверно.</w:t>
      </w:r>
      <w:r>
        <w:rPr>
          <w:rFonts w:ascii="Times New Roman" w:hAnsi="Times New Roman"/>
          <w:b w:val="0"/>
          <w:i w:val="0"/>
          <w:sz w:val="24"/>
        </w:rPr>
        <w:t xml:space="preserve"> Пунктом 1 статьи 395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Пунктом 5 той же статьи: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 Истец [начислил проценты на проценты / начал начисление до наступления срока возврата / применил ставку, не соответствующую периодам / одновременно взыскивает договорную неустойку и проценты по статье 395 ГК РФ, что недопустимо при наличии неустойки — пункт 4 статьи 395: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 Контррасчёт прилагается.</w:t>
      </w:r>
    </w:p>
    <w:p>
      <w:pPr>
        <w:spacing w:after="120" w:line="276" w:lineRule="auto"/>
        <w:ind w:firstLine="709"/>
        <w:jc w:val="both"/>
      </w:pPr>
      <w:r>
        <w:rPr>
          <w:rFonts w:ascii="Times New Roman" w:hAnsi="Times New Roman"/>
          <w:b/>
          <w:i w:val="0"/>
          <w:sz w:val="24"/>
        </w:rPr>
        <w:t>Суд не применил исковую давность, о пропуске которой ответчик заявил в суде первой инстанции.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срок давности начинается по окончании срока исполнения (пункт 2 статьи 200 ГК РФ: «По обязательствам с определенным сроком исполнения течение срока исковой давности начинается по окончании срока исполнения.»), а при исполнении по частям — отдельно по каждому платежу. По обязательствам, срок исполнения которых определён моментом востребования, —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Срок возврата [наступил «[дата]» / требование о возврате предъявлено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807, 808, 809, 810, 812, 395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