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поручитель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солидарном взыскании задолженности по договору поставки с покупателя и поручителя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солидарном взыскании с покупателя и поручителя задолженности по договору поставки [сумма] рублей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долг с поручителя, суд не учёл прекращение поручительства в связи с истечением срока и изменением основного обязательства без согласия поручителя, а также ограниченный объём поручительства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 прекратилось в связи с истечением срока.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367 ГК РФ установлено: «Поручительство прекращается по истечении указанного в договоре поручительства срока, на который оно дано.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кредитор не предъявит иск к поручителю в течение двух лет со дня заключения договора поручительства.» Договором поручительства от «[дата]» [срок не установлен / установлен до «[дата]»]. Срок оплаты последней спорной поставки наступил «[дата]», а иск к поручителю предъявлен «[дата]» — [более чем через год / после истечения срока поручительства]. Это срок существования самого обязательства поручителя, а не исковая давность, и суд применяет его независимо от заявления.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Основное обязательство изменено без согласия поручителя.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367 ГК РФ предусмотрено: «В случае, если обеспеченное поручительством обязательство было изменено без согласия поручителя, что повлекло за собой увеличение ответственности или иные неблагоприятные последствия для поручителя, поручитель отвечает на прежних условиях.» Поставщик и покупатель [дополнительным соглашением от «[дата]» увеличили лимит поставки / продлили отсрочку платежа / повысили ставку неустойки], поручитель об этом не знал и согласия не давал. Поручитель отвечает только на прежних условиях — в пределах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 дано в ограниченном объёме.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361 ГК РФ установлено: «По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будущем.» Пунктом [__] договора поручительства ответственность ограничена [суммой [сумма] рублей / поставками по спецификации № [__] / основным долгом без неустойки]. Требования истца сверх этих пределов к поручителю не относятся.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 вправе выдвигать возражения покупателя.</w:t>
      </w:r>
      <w:r>
        <w:rPr>
          <w:rFonts w:ascii="Times New Roman" w:hAnsi="Times New Roman"/>
          <w:b w:val="0"/>
          <w:i w:val="0"/>
          <w:sz w:val="24"/>
        </w:rPr>
        <w:t xml:space="preserve"> Все возражения ответчика 1 по существу долга [недопоставка, ненадлежащее качество, неучтённые платежи, неверный расчёт неустойки] поручитель поддерживает. Объём ответственности поручителя производен от долга покупателя (пункт 2 статьи 363 ГК РФ: «Поручитель отвечает перед кредитором в том же объеме, как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должником, если иное не предусмотрено договором поручительства.»), и если долг не доказан, отсутствует и обязанность поручителя.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основного долга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361, 363, 364, 367, 333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