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задолженности наследодателя с наследника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как наследника задолженности [наследодателя] по [кредитному договору]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долг, суд не определил стоимость перешедшего к ответчику наследственного имущества, в пределах которой он отвечает, начислил проценты и неустойку за период, необходимый для принятия наследства, и не учёл злоупотребление кредитора, затягивавшего обращение (пункты 1 и 4 части 1 статьи 330 ГПК РФ).</w:t>
      </w:r>
    </w:p>
    <w:p>
      <w:pPr>
        <w:spacing w:after="120" w:line="276" w:lineRule="auto"/>
        <w:ind w:firstLine="709"/>
        <w:jc w:val="both"/>
      </w:pPr>
      <w:r>
        <w:rPr>
          <w:rFonts w:ascii="Times New Roman" w:hAnsi="Times New Roman"/>
          <w:b/>
          <w:i w:val="0"/>
          <w:sz w:val="24"/>
        </w:rPr>
        <w:t>Ответчик отвечает только в пределах стоимости перешедшего к нему наследства.</w:t>
      </w:r>
      <w:r>
        <w:rPr>
          <w:rFonts w:ascii="Times New Roman" w:hAnsi="Times New Roman"/>
          <w:b w:val="0"/>
          <w:i w:val="0"/>
          <w:sz w:val="24"/>
        </w:rPr>
        <w:t xml:space="preserve"> Абзацем вторым пункта 1 статьи 1175 Гражданского кодекса Российской Федерации (далее — ГК РФ) установлено: «Каждый из наследников отвечает по долгам наследодателя в пределах стоимости перешедшего к нему наследственного имущества.» Ответчику перешло наследство стоимостью [сумма] рублей на день открытия наследства [доля в квартире по кадастровой / рыночной стоимости — отчёт]. [Из этой суммы ответчик уже погасил долги наследодателя перед [кредиторами] на [сумма] рублей, оплатил расходы на похороны [сумма] рублей.] Пределы ответственности ответчика исчерпаны [либо составляют [сумма] рублей].</w:t>
      </w:r>
    </w:p>
    <w:p>
      <w:pPr>
        <w:spacing w:after="120" w:line="276" w:lineRule="auto"/>
        <w:ind w:firstLine="709"/>
        <w:jc w:val="both"/>
      </w:pPr>
      <w:r>
        <w:rPr>
          <w:rFonts w:ascii="Times New Roman" w:hAnsi="Times New Roman"/>
          <w:b/>
          <w:i w:val="0"/>
          <w:sz w:val="24"/>
        </w:rPr>
        <w:t>[Если ответчик не принимал наследство:] Ответчик наследником, принявшим наследство, не является.</w:t>
      </w:r>
      <w:r>
        <w:rPr>
          <w:rFonts w:ascii="Times New Roman" w:hAnsi="Times New Roman"/>
          <w:b w:val="0"/>
          <w:i w:val="0"/>
          <w:sz w:val="24"/>
        </w:rPr>
        <w:t xml:space="preserve"> Пунктом 1 статьи 1175 ГК РФ: «Наследники, принявшие наследство, отвечают по долгам наследодателя солидарно (статья 323).» Ответчик к нотариусу не обращался, во владение имуществом не вступал [отказался от наследства — заявление от «[дата]»]; регистрация по месту жительства наследодателя сама по себе не означает принятия наследства.</w:t>
      </w:r>
    </w:p>
    <w:p>
      <w:pPr>
        <w:spacing w:after="120" w:line="276" w:lineRule="auto"/>
        <w:ind w:firstLine="709"/>
        <w:jc w:val="both"/>
      </w:pPr>
      <w:r>
        <w:rPr>
          <w:rFonts w:ascii="Times New Roman" w:hAnsi="Times New Roman"/>
          <w:b/>
          <w:i w:val="0"/>
          <w:sz w:val="24"/>
        </w:rPr>
        <w:t>Проценты и неустойка начислены неправомерно.</w:t>
      </w:r>
      <w:r>
        <w:rPr>
          <w:rFonts w:ascii="Times New Roman" w:hAnsi="Times New Roman"/>
          <w:b w:val="0"/>
          <w:i w:val="0"/>
          <w:sz w:val="24"/>
        </w:rPr>
        <w:t xml:space="preserve"> Наследник отвечает за просрочку исполнения лишь по истечении времени, необходимого для принятия наследства (шесть месяцев). Неустойка и проценты за пользование чужими средствами за этот период не начисляются; проценты по договору займа продолжают начисляться, но в пределах стоимости наследства. [Истец [начислил неустойку за период до «[дата]»] — контррасчёт прилагается.]</w:t>
      </w:r>
    </w:p>
    <w:p>
      <w:pPr>
        <w:spacing w:after="120" w:line="276" w:lineRule="auto"/>
        <w:ind w:firstLine="709"/>
        <w:jc w:val="both"/>
      </w:pPr>
      <w:r>
        <w:rPr>
          <w:rFonts w:ascii="Times New Roman" w:hAnsi="Times New Roman"/>
          <w:b/>
          <w:i w:val="0"/>
          <w:sz w:val="24"/>
        </w:rPr>
        <w:t>Кредитор злоупотребил правом, затягивая обращение.</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знал о смерти заёмщика с «[дата]» [получил свидетельство о смерти / сведения от страховщика], но [__] лет не предъявлял требований, увеличивая размер процентов. В таком случае суд вправе отказать во взыскании процентов за период необоснованного бездействия.</w:t>
      </w:r>
    </w:p>
    <w:p>
      <w:pPr>
        <w:spacing w:after="120" w:line="276" w:lineRule="auto"/>
        <w:ind w:firstLine="709"/>
        <w:jc w:val="both"/>
      </w:pPr>
      <w:r>
        <w:rPr>
          <w:rFonts w:ascii="Times New Roman" w:hAnsi="Times New Roman"/>
          <w:b/>
          <w:i w:val="0"/>
          <w:sz w:val="24"/>
        </w:rPr>
        <w:t>[Если был договор страхования жизни заёмщика:] Долг должен погашаться за счёт страхового возмещения.</w:t>
      </w:r>
      <w:r>
        <w:rPr>
          <w:rFonts w:ascii="Times New Roman" w:hAnsi="Times New Roman"/>
          <w:b w:val="0"/>
          <w:i w:val="0"/>
          <w:sz w:val="24"/>
        </w:rPr>
        <w:t xml:space="preserve"> Жизнь наследодателя была застрахована по договору от «[дата]» в пользу банка; смерть является страховым случаем. Суд не привлёк страховщика к участию в деле, хотя ответчик об этом ходатайствовал.</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3 статьи 1175 ГК РФ установлено: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наследственному имуществу, в целях сохранения которого к участию в деле привлекается исполнитель завещания или нотариус.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 «При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1112, 1175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