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солидарном взыскании задолженности с заёмщика и поручителя</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солидарном взыскании с заёмщика и поручителя задолженности по [кредитному договору / договору займа]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долг с поручителя, суд не учёл, что поручительство прекратилось в связи с истечением срока [или изменением обязательства без согласия поручителя], и не рассмотрел возражения, которые поручитель вправе выдвигать вместо должника (пункты 1 и 4 части 1 статьи 330 ГПК РФ).</w:t>
      </w:r>
    </w:p>
    <w:p>
      <w:pPr>
        <w:spacing w:after="120" w:line="276" w:lineRule="auto"/>
        <w:ind w:firstLine="709"/>
        <w:jc w:val="both"/>
      </w:pPr>
      <w:r>
        <w:rPr>
          <w:rFonts w:ascii="Times New Roman" w:hAnsi="Times New Roman"/>
          <w:b/>
          <w:i w:val="0"/>
          <w:sz w:val="24"/>
        </w:rPr>
        <w:t>Поручительство прекратилось в связи с истечением срока.</w:t>
      </w:r>
      <w:r>
        <w:rPr>
          <w:rFonts w:ascii="Times New Roman" w:hAnsi="Times New Roman"/>
          <w:b w:val="0"/>
          <w:i w:val="0"/>
          <w:sz w:val="24"/>
        </w:rPr>
        <w:t xml:space="preserve"> Пунктом 6 статьи 367 Гражданского кодекса Российской Федерации (далее — ГК РФ) установлено: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 «Предъявление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 [Договор поручительства срока не содержит / условие «до полного исполнения обязательств» сроком не является.] Срок возврата долга (последнего платежа) наступил «[дата]», а иск к поручителю предъявлен «[дата]» — по истечении года. Поручительство прекратилось [полностью / в части платежей, срок которых наступил более чем за год до иска].</w:t>
      </w:r>
    </w:p>
    <w:p>
      <w:pPr>
        <w:spacing w:after="120" w:line="276" w:lineRule="auto"/>
        <w:ind w:firstLine="709"/>
        <w:jc w:val="both"/>
      </w:pPr>
      <w:r>
        <w:rPr>
          <w:rFonts w:ascii="Times New Roman" w:hAnsi="Times New Roman"/>
          <w:b/>
          <w:i w:val="0"/>
          <w:sz w:val="24"/>
        </w:rPr>
        <w:t>Обязательство изменено без согласия поручителя.</w:t>
      </w:r>
      <w:r>
        <w:rPr>
          <w:rFonts w:ascii="Times New Roman" w:hAnsi="Times New Roman"/>
          <w:b w:val="0"/>
          <w:i w:val="0"/>
          <w:sz w:val="24"/>
        </w:rPr>
        <w:t xml:space="preserve"> Пунктом 2 статьи 367 ГК РФ: «В случае, если обеспеченное поручительством обязательство было изменено без согласия поручителя, что повлекло за собой увеличение ответственности или иные неблагоприятные последствия для поручителя, поручитель отвечает на прежних условиях.» Дополнительным соглашением от «[дата]» кредитор и заёмщик [увеличили процентную ставку / продлили срок / увеличили сумму], согласия ответчика не получено. Поручитель отвечает лишь на прежних условиях.</w:t>
      </w:r>
    </w:p>
    <w:p>
      <w:pPr>
        <w:spacing w:after="120" w:line="276" w:lineRule="auto"/>
        <w:ind w:firstLine="709"/>
        <w:jc w:val="both"/>
      </w:pPr>
      <w:r>
        <w:rPr>
          <w:rFonts w:ascii="Times New Roman" w:hAnsi="Times New Roman"/>
          <w:b/>
          <w:i w:val="0"/>
          <w:sz w:val="24"/>
        </w:rPr>
        <w:t>[Если долг переведён:] Поручительство прекратилось с переводом долга.</w:t>
      </w:r>
      <w:r>
        <w:rPr>
          <w:rFonts w:ascii="Times New Roman" w:hAnsi="Times New Roman"/>
          <w:b w:val="0"/>
          <w:i w:val="0"/>
          <w:sz w:val="24"/>
        </w:rPr>
        <w:t xml:space="preserve"> Пунктом 3 статьи 367 ГК РФ: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 «Согласие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pPr>
        <w:spacing w:after="120" w:line="276" w:lineRule="auto"/>
        <w:ind w:firstLine="709"/>
        <w:jc w:val="both"/>
      </w:pPr>
      <w:r>
        <w:rPr>
          <w:rFonts w:ascii="Times New Roman" w:hAnsi="Times New Roman"/>
          <w:b/>
          <w:i w:val="0"/>
          <w:sz w:val="24"/>
        </w:rPr>
        <w:t>Поручитель вправе выдвигать возражения должника.</w:t>
      </w:r>
      <w:r>
        <w:rPr>
          <w:rFonts w:ascii="Times New Roman" w:hAnsi="Times New Roman"/>
          <w:b w:val="0"/>
          <w:i w:val="0"/>
          <w:sz w:val="24"/>
        </w:rPr>
        <w:t xml:space="preserve"> Пунктом 1 статьи 364 ГК РФ: «Поручитель вправе выдвигать против требования кредитора возражения,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 [Заёмщик оспаривает размер долга / заявляет о безденежности / о пропуске срока давности]; ответчик присоединяется к этим возражениям. Пунктом 2 той же статьи: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 [Кредитор мог погасить требование зачётом встречного требования заёмщика.]</w:t>
      </w:r>
    </w:p>
    <w:p>
      <w:pPr>
        <w:spacing w:after="120" w:line="276" w:lineRule="auto"/>
        <w:ind w:firstLine="709"/>
        <w:jc w:val="both"/>
      </w:pPr>
      <w:r>
        <w:rPr>
          <w:rFonts w:ascii="Times New Roman" w:hAnsi="Times New Roman"/>
          <w:b/>
          <w:i w:val="0"/>
          <w:sz w:val="24"/>
        </w:rPr>
        <w:t>Объём ответственности поручителя.</w:t>
      </w:r>
      <w:r>
        <w:rPr>
          <w:rFonts w:ascii="Times New Roman" w:hAnsi="Times New Roman"/>
          <w:b w:val="0"/>
          <w:i w:val="0"/>
          <w:sz w:val="24"/>
        </w:rPr>
        <w:t xml:space="preserve"> Пунктом 2 статьи 363 ГК РФ: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 [Поручительство дано на сумму [сумма] рублей — договор, пункт __; требования сверх этого лимита к ответчику предъявлены необоснованно.]</w:t>
      </w:r>
    </w:p>
    <w:p>
      <w:pPr>
        <w:spacing w:after="120" w:line="276" w:lineRule="auto"/>
        <w:ind w:firstLine="709"/>
        <w:jc w:val="both"/>
      </w:pPr>
      <w:r>
        <w:rPr>
          <w:rFonts w:ascii="Times New Roman" w:hAnsi="Times New Roman"/>
          <w:b/>
          <w:i w:val="0"/>
          <w:sz w:val="24"/>
        </w:rPr>
        <w:t>Неустойка подлежит уменьшению.</w:t>
      </w:r>
      <w:r>
        <w:rPr>
          <w:rFonts w:ascii="Times New Roman" w:hAnsi="Times New Roman"/>
          <w:b w:val="0"/>
          <w:i w:val="0"/>
          <w:sz w:val="24"/>
        </w:rPr>
        <w:t xml:space="preserve"> Пунктом 1 статьи 333 ГК РФ предусмотрено: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Заявленная неустойка [сумма] рублей составляет [__] % от суммы основного обязательства, что многократно превышает возможные убытки истца, ключевую ставку Банка России и средние ставки по кредитам за тот же период. Реальных негативных последствий нарушения истец не доказал. Мотивы отказа в снижении неустойки [и штрафа] в решении не приведены [или сводятся к общей фразе]; они подлежали снижению до [сумма] рублей.</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361, 363, 364, 367,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