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абонент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водоканал: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задолженности за холодное водоснабжение и водоотведение и пеней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задолженности за холодное водоснабжение и водоотведение [сумма] рублей, платы за негативное воздействие и пеней.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задолженность, суд принял объём воды и стоков, определённый не по данным учёта, плату за негативное воздействие без надлежащего отбора проб и неверный расчёт пеней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Объём воды и стоков определён истцом не по данным учёта.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544 ГК РФ установлено: «Оплата энергии производится за фактически принятое абонентом количество энергии в соответствии с данными учета энергии, если иное не предусмотрено законом, иными правовыми актами или соглашением сторон.» Узел учёта абонента [исправен, поверен (свидетельство до «[дата]»), допущен в эксплуатацию актом от «[дата]»], показания передавались ежемесячно [журнал, электронные письма]. Истец же применил [расчётный способ / норматив / максимальную мощность], что допустимо лишь при отсутствии или неисправности прибора учёта. Контррасчёт по показаниям прибора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Плата за негативное воздействие и сверхнормативные сбросы не обоснована.</w:t>
      </w:r>
      <w:r>
        <w:rPr>
          <w:rFonts w:ascii="Times New Roman" w:hAnsi="Times New Roman"/>
          <w:b w:val="0"/>
          <w:i w:val="0"/>
          <w:sz w:val="24"/>
        </w:rPr>
        <w:t xml:space="preserve"> Истец включил в расчёт [плату за сброс загрязняющих веществ / за негативное воздействие на централизованную систему], однако [пробы отобраны без представителя абонента / с нарушением методики / контрольная проба не передана абоненту]; результаты анализа не могут быть положены в основу расчёта.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Объём водоотведения определён неверно.</w:t>
      </w:r>
      <w:r>
        <w:rPr>
          <w:rFonts w:ascii="Times New Roman" w:hAnsi="Times New Roman"/>
          <w:b w:val="0"/>
          <w:i w:val="0"/>
          <w:sz w:val="24"/>
        </w:rPr>
        <w:t xml:space="preserve"> Объём стоков равен объёму потреблённой воды по прибору учёта, а истец [начислил водоотведение по пропускной способности / добавил поверхностные сточные воды без договорного условия].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Платежи ответчика учтены не полностью.</w:t>
      </w:r>
      <w:r>
        <w:rPr>
          <w:rFonts w:ascii="Times New Roman" w:hAnsi="Times New Roman"/>
          <w:b w:val="0"/>
          <w:i w:val="0"/>
          <w:sz w:val="24"/>
        </w:rPr>
        <w:t xml:space="preserve"> Ответчик оплатил [сумма] рублей платёжными поручениями № [__] с указанием расчётного периода. Пунктом 1 статьи 319.1 ГК РФ установлено: «В случае, если исполненного должником недостаточно для погашения всех однородных обязательств должника перед кредитором, исполненное засчитывается в счет обязательства, указанного должником при исполнении или без промедления после исполнения.» Истец зачёл платежи в счёт более ранних периодов [или пеней], увеличив долг за спорный период.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Пени рассчитаны неверно.</w:t>
      </w:r>
      <w:r>
        <w:rPr>
          <w:rFonts w:ascii="Times New Roman" w:hAnsi="Times New Roman"/>
          <w:b w:val="0"/>
          <w:i w:val="0"/>
          <w:sz w:val="24"/>
        </w:rPr>
        <w:t xml:space="preserve"> Частью 6.2 статьи 13 Федерального закона от 07.12.2011 № 416-ФЗ «О водоснабжении и водоотведении» установлено: «Абонент, несвоевременно и (или) не полностью оплативший горячую, питьевую и (или) техническую воду, обязан уплатить организации, осуществляющей горячее водоснабжение, холодное водоснабжение, пени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оплаты.» Аналогичное правило — для водоотведения (часть 6.2 статьи 14: «Абонент, несвоевременно и (или) не полностью оплативший услуги по договору водоотведения, обязан уплатить организации, осуществляющей водоотведение, пени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оплаты.»). [Истец применил ставку не на день оплаты / начислил пени на суммы, не подтверждённые показаниями прибора.]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необоснованно отказал в снижении неустойки [заявление о несоразмерности сделано ответчиком в суде первой инстанции].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суммы долга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548, 544, 333 ГК РФ, статьями 13, 14, 30.1 Федерального закона «О водоснабжении и водоотведении»,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