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по договору займа с валютной оговоркой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задолженности по договору займа с валютной оговоркой в размере [сумма] рублей по курсу на день платежа, процентов и неустойки.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долг по текущему курсу, суд не учёл, что заёмщик получил рубли, а резкое изменение курса — существенное изменение обстоятельств, при котором валютный риск должен быть распределён между сторонами (пункты 1 и 4 части 1 статьи 330 ГПК РФ).</w:t>
      </w:r>
    </w:p>
    <w:p>
      <w:pPr>
        <w:spacing w:after="120" w:line="276" w:lineRule="auto"/>
        <w:ind w:firstLine="709"/>
        <w:jc w:val="both"/>
      </w:pPr>
      <w:r>
        <w:rPr>
          <w:rFonts w:ascii="Times New Roman" w:hAnsi="Times New Roman"/>
          <w:b/>
          <w:i w:val="0"/>
          <w:sz w:val="24"/>
        </w:rPr>
        <w:t>Ответчик получил рубли, и обязательство должно определяться с учётом этого.</w:t>
      </w:r>
      <w:r>
        <w:rPr>
          <w:rFonts w:ascii="Times New Roman" w:hAnsi="Times New Roman"/>
          <w:b w:val="0"/>
          <w:i w:val="0"/>
          <w:sz w:val="24"/>
        </w:rPr>
        <w:t xml:space="preserve"> Пунктом 1 статьи 317 Гражданского кодекса Российской Федерации (далее — ГК РФ) установлено: «Денежные обязательства должны быть выражены в рублях (статья 140).» Пунктом 2 той же статьи: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 Валютная оговорка допустима, но истец должен доказать, что стороны действительно согласовали пересчёт по курсу на день платежа. [В расписке указана сумма в рублях [сумма] с пометкой «эквивалент __ USD», без указания курса и даты пересчёта / передавались рубли, а «долларовый эквивалент» указан для сведения.] При неясности условие толкуется по правилам статьи 431 ГК РФ с учётом поведения сторон: ответчик [возвращал рубли в фиксированной сумме, истец принимал их без пересчёта].</w:t>
      </w:r>
    </w:p>
    <w:p>
      <w:pPr>
        <w:spacing w:after="120" w:line="276" w:lineRule="auto"/>
        <w:ind w:firstLine="709"/>
        <w:jc w:val="both"/>
      </w:pPr>
      <w:r>
        <w:rPr>
          <w:rFonts w:ascii="Times New Roman" w:hAnsi="Times New Roman"/>
          <w:b/>
          <w:i w:val="0"/>
          <w:sz w:val="24"/>
        </w:rPr>
        <w:t>Существенное изменение курса — основание для изменения условий.</w:t>
      </w:r>
      <w:r>
        <w:rPr>
          <w:rFonts w:ascii="Times New Roman" w:hAnsi="Times New Roman"/>
          <w:b w:val="0"/>
          <w:i w:val="0"/>
          <w:sz w:val="24"/>
        </w:rPr>
        <w:t xml:space="preserve"> Курс [доллара / евро] вырос с [__] до [__] рублей, то есть на [__] %. Пунктом 1 статьи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Стороны не могли предвидеть такого изменения; исполнение на прежних условиях влечёт для ответчика ущерб, который лишает его того, на что он рассчитывал. Суд должен был распределить валютный риск [определить сумму по курсу на дату получения займа / разделить разницу поровну].</w:t>
      </w:r>
    </w:p>
    <w:p>
      <w:pPr>
        <w:spacing w:after="120" w:line="276" w:lineRule="auto"/>
        <w:ind w:firstLine="709"/>
        <w:jc w:val="both"/>
      </w:pPr>
      <w:r>
        <w:rPr>
          <w:rFonts w:ascii="Times New Roman" w:hAnsi="Times New Roman"/>
          <w:b/>
          <w:i w:val="0"/>
          <w:sz w:val="24"/>
        </w:rPr>
        <w:t>Проценты и неустойка рассчитываются от рублёвого эквивалента на дату платежа, а не на дату решения.</w:t>
      </w:r>
      <w:r>
        <w:rPr>
          <w:rFonts w:ascii="Times New Roman" w:hAnsi="Times New Roman"/>
          <w:b w:val="0"/>
          <w:i w:val="0"/>
          <w:sz w:val="24"/>
        </w:rPr>
        <w:t xml:space="preserve"> Истец [начислял неустойку на валютную сумму по текущему курсу за весь период] — контррасчёт прилагается. Пунктом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spacing w:after="120" w:line="276" w:lineRule="auto"/>
        <w:ind w:firstLine="709"/>
        <w:jc w:val="both"/>
      </w:pPr>
      <w:r>
        <w:rPr>
          <w:rFonts w:ascii="Times New Roman" w:hAnsi="Times New Roman"/>
          <w:b/>
          <w:i w:val="0"/>
          <w:sz w:val="24"/>
        </w:rPr>
        <w:t>Частичное погашение не учтено.</w:t>
      </w:r>
      <w:r>
        <w:rPr>
          <w:rFonts w:ascii="Times New Roman" w:hAnsi="Times New Roman"/>
          <w:b w:val="0"/>
          <w:i w:val="0"/>
          <w:sz w:val="24"/>
        </w:rPr>
        <w:t xml:space="preserve"> Ответчик возвратил [сумма] рублей переводами от «[дата]». Пересчёт этих платежей в валюту должен производиться по курсу на дату каждого платежа, что истец не сделал.</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317, 451, 807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