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грузоотправитель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перевозчик: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провозной платы, штрафа за простой транспортного средства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провозной платы [сумма] рублей, штрафа за простой транспортного средства и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плату и штраф, суд не учёл иной порядок определения провозной платы, ненадлежащую перевозку, отсутствие отметок о простое в транспортной накладной и неверный расчёт штрафа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Провозная плата определена иначе, чем указывает истец.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790 ГК РФ установлено: «За перевозку грузов, пассажиров и багажа взимается провозная плата, установленная соглашением сторон, если иное не предусмотрено законом или иными правовыми актами.» В заявке согласована ставка [сумма] рублей за рейс [включая погрузо-разгрузочные операции]; дополнительные услуги, которые истец включил в расчёт, грузоотправитель не заказывал (пункт 3 статьи 790 ГК РФ: «Работы и услуги, выполняемые перевозчиком по требованию грузовладельца и не предусмотренные тарифами, оплачиваются по соглашению сторон.»).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Перевозка выполнена ненадлежащим образом, что исключает оплату в полном объёме.</w:t>
      </w:r>
      <w:r>
        <w:rPr>
          <w:rFonts w:ascii="Times New Roman" w:hAnsi="Times New Roman"/>
          <w:b w:val="0"/>
          <w:i w:val="0"/>
          <w:sz w:val="24"/>
        </w:rPr>
        <w:t xml:space="preserve"> [Груз доставлен с повреждениями / с опозданием / не в тот пункт]; встречные требования грузоотправителя [штраф за просрочку доставки, ущерб] заявлены к зачёту письмом от «[дата]» (статья 410 ГК РФ: «Обязательство прекращается полностью или частично зачетом встречного однородного требования, срок которого наступил либо срок которого не указан или определен моментом востребования. В случаях, предусмотренных законом, допускается зачет встречного однородного требования, срок которого не наступил. Для зачета достаточно заявления одной стороны.»).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Простой не подтверждён отметками в транспортной накладной.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11 Устава автомобильного транспорта установлено: «Грузоотправитель, грузополучатель обязаны отмечать в транспортной накладной, сопроводительной ведомости время подачи транспортного средства, контейнера в пункты погрузки, выгрузки и время отправления из них.» Отметок о времени подачи и убытия транспортного средства в накладной нет [или они не подписаны представителем грузоотправителя]; путевой лист и данные трекера, составленные самим перевозчиком, их не заменяют.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Время на погрузку не превышено.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11 Устава автомобильного транспорта установлено: «Погрузка грузов в транспортные средства, контейнеры и выгрузка грузов из них должны выполняться в сроки, установленные договором перевозки груза, а в случае, если указанные сроки в договоре перевозки груза не установлены, в сроки, предусмотренные правилами перевозок грузов.» [Транспорт подан с опозданием / вне согласованного окна загрузки]; нормативное время погрузки исчисляется с момента предъявления водителем документов, а не с момента прибытия к территории грузоотправителя.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 рассчитан неверно.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35 Устава автомобильного транспорта предусмотрено: «За задержку (простой) транспортных средств, поданных под погрузку, выгрузку, соответственно грузоотправитель, грузополучатель уплачивают за каждый полный час задержки (простоя) штраф в размере, установленном договором перевозки груза, а в случае, если размер указанного штрафа в договоре перевозки груза не установлен, в размере:» «одного процента среднесуточной провозной платы при перевозке в междугородном сообщении, определенной в соответствии с установленным договором сроком выполнения соответствующей перевозки.» Истец [применил двойной размер для неспециализированного транспорта / считал неполные часы / принял за базу провозную плату за весь маршрут, а не среднесуточную].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провозной платы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785, 790 ГК РФ, статьями 11, 35 Устава автомобильного транспорта,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