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перевозчик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грузоотправитель: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штрафа за невывоз груза, несвоевременную подачу транспортного средства и убытков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штрафа за невывоз груза, несвоевременную подачу транспортного средства [сумма] рублей и убытков.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штраф, суд не проверил претензионный порядок, не учёл, что заявка перевозчиком не принималась, а невывоз произошёл не по его вине (пункты 1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Обязательный претензионный порядок по перевозке не соблюдён.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797 ГК РФ установлено: «До предъявления к перевозчику иска, вытекающего из перевозки груза, обязательно предъявление ему претензии в порядке, предусмотренном соответствующим транспортным уставом или кодексом.» Частью 2 статьи 39 Устава автомобильного транспорта и городского наземного электрического транспорта (Федеральный закон от 08.11.2007 № 259-ФЗ, далее — Устав автомобильного транспорта) предусмотрено: «До предъявления к перевозчикам исков, вытекающих из договоров перевозок грузов, к таким лицам в обязательном порядке предъявляются претензии.» [Претензия не предъявлялась / предъявлена без документов, подтверждающих право на её предъявление, количество и стоимость груза / иск подан до истечения тридцати дней на её рассмотрение.] Иск подлежит оставлению без рассмотрения (пункт 2 части 1 статьи 148 АПК РФ: «истцом не соблюден претензионный или иной досудебный порядок урегулирования спора с ответчиком, за исключением случаев, если его соблюдение не предусмотрено федеральным законом»).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Заявка не была принята перевозчиком.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791 ГК РФ установлено: «Перевозчик обязан подать отправителю груза под погрузку в срок, установленный принятой от него заявкой (заказом), договором перевозки или договором об организации перевозок, исправные транспортные средства в состоянии, пригодном для перевозки соответствующего груза.» Обязанность подать транспорт возникает только по принятой заявке. Заявка истца от «[дата]» перевозчиком не подтверждена [подписана неуполномоченным диспетчером / подтверждена с иным сроком подачи «[дата]»].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Невывоз произошёл не по вине перевозчика.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34 Устава автомобильного транспорта установлено: «За невывоз по вине перевозчика груза, предусмотренного договором перевозки груза, перевозчик уплачивает грузоотправителю штраф в размере двадцати процентов платы, установленной за перевозку груза, если иное не установлено договором перевозки груза. Грузоотправитель также вправе потребовать от перевозчика возмещения причиненных перевозчиком убытков в порядке, установленном законодательством Российской Федерации.» Транспорт был подан «[дата]» [путевой лист, трекер, отметка охраны], однако груз не был предъявлен [не готов, не оформлены документы] — это непредъявление груза грузоотправителем. Пунктом 2 статьи 794 ГК РФ перевозчик освобождается от ответственности, если неподача произошла вследствие: «непреодолимой силы, а также иных явлений стихийного характера (пожаров, заносов, наводнений) и военных действий» «прекращения или ограничения перевозки грузов в определенных направлениях, установленного в порядке, предусмотренном соответствующим транспортным уставом или кодексом»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 за несвоевременную подачу рассчитан неверно.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34 Устава автомобильного транспорта установлено: «За несвоевременное предоставление транспортного средства, контейнера, предусмотренных договором перевозки груза, перевозчик уплачивает грузоотправителю за каждый полный час просрочки штраф в размере, установленном договором перевозки груза, а в случае, если размер указанного штрафа договором перевозки груза не установлен, в размере:» «одного процента среднесуточной провозной платы, определенной в соответствии с установленным договором перевозки груза сроком перевозки, при перевозке в междугородном сообщении.» Опоздание составило [__] полных часов, а не [__]; одновременное взыскание штрафа за невывоз и за опоздание той же машины недопустимо.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Убытки не доказаны.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393.1 ГК РФ установлено: «В случае,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договор, кредитор вправе потребовать от должника возмещения убытков в виде разницы между ценой, установленной в прекращенном договоре, и ценой на сопоставимые товары, работы или услуги по условиям договора, заключенного взамен прекращенного договора.» Истец не доказал, что привлёк другого перевозчика именно взамен невыполненной заявки и по разумной цене; разовая ставка «срочной» машины не является мерой убытков.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необоснованно отказал в снижении неустойки [заявление о несоразмерности сделано ответчиком в суде первой инстанции].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333 ГК РФ установлено: «Если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уменьшении.» Пунктом 2 той же статьи предусмотрено: «Уменьшение неустойки, определенной договором и подлежащей уплате лицом, осуществляющим предпринимательскую деятельность, допускается в исключительных случаях, если будет доказано, что взыскание неустойки в предусмотренном договором размере может привести к получению кредитором необоснованной выгоды.» Неустойка [сумма] рублей составляет [__] % от провозной платы ([__] % годовых) и многократно превышает ключевую ставку Банка России и ставки по кредитам предпринимателям за тот же период; реальных потерь истец не доказал, поэтому полное взыскание даст ему необоснованную выгоду. Неустойка подлежала снижению до [сумма] рублей (расчёт исходя из двукратной ключевой ставки прилагается).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791, 794 ГК РФ, статьями 10, 34, 36 Устава автомобильного транспорта,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