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потребитель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сетевая (энергосбытовая)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стоимости безучётного (бездоговорного) потребления электрической энергии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стоимости безучётного (бездоговорного) потребления электрической энергии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безучётного потребления, суд положил в основу акт, составленный с нарушениями Основных положений № 442, не установил вмешательства в работу прибора учёта и принял завышенный расчётный объём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Акт составлен с нарушениями и не доказывает безучётного потребления.</w:t>
      </w:r>
      <w:r>
        <w:rPr>
          <w:rFonts w:ascii="Times New Roman" w:hAnsi="Times New Roman"/>
          <w:b w:val="0"/>
          <w:i w:val="0"/>
          <w:sz w:val="24"/>
        </w:rPr>
        <w:t xml:space="preserve"> Акт [составлен в отсутствие представителя потребителя, который не был извещён о проверке / не содержит описания способа вмешательства в работу прибора учёта / не подписан незаинтересованными лицами при отказе от подписи / не сопровождается фото- и видеофиксацией]. Нарушение пломбы [визуально не подтверждено / пломба повреждена при демонтаже проверяющими].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Вмешательства в работу прибора учёта не было.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543 ГК РФ установлено: «Абонент обязан обеспечивать надлежащее техническое состояние и безопасность эксплуатируемых энергетических сетей, приборов и оборудования, соблюдать установленный режим потребления энергии, а также немедленно сообщать энергоснабжающей организации об авариях, о пожарах, неисправностях приборов учета энергии и об иных нарушениях, возникающих при пользовании энергией.» Прибор учёта находится [на опоре вне территории потребителя — в зоне ответственности сетевой организации]; погрешность показаний [не выходит за пределы класса точности — протокол экспертизы]; потребитель сам сообщил о неисправности «[дата]» и просил её устранить.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Потребление не является бездоговорным.</w:t>
      </w:r>
      <w:r>
        <w:rPr>
          <w:rFonts w:ascii="Times New Roman" w:hAnsi="Times New Roman"/>
          <w:b w:val="0"/>
          <w:i w:val="0"/>
          <w:sz w:val="24"/>
        </w:rPr>
        <w:t xml:space="preserve"> Договор энергоснабжения [заключён «[дата]» / действовал по конклюдентным действиям — оплата счетов истца]. Пунктом 1 статьи 539 ГК РФ: «По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энергии.» Бездоговорным является только потребление без договора; при его наличии расчёт по правилам о бездоговорном потреблении незаконен.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рассчитан неверно.</w:t>
      </w:r>
      <w:r>
        <w:rPr>
          <w:rFonts w:ascii="Times New Roman" w:hAnsi="Times New Roman"/>
          <w:b w:val="0"/>
          <w:i w:val="0"/>
          <w:sz w:val="24"/>
        </w:rPr>
        <w:t xml:space="preserve"> Истец [определил объём по максимальной мощности за весь период с последней проверки, хотя последняя проверка была «[дата]», а не «[дата]» / не учёл фактическую нагрузку оборудования / не вычел объём, уже оплаченный по показаниям]. Пунктом 2 статьи 1105 ГК РФ установлено: «Лицо, неосновательно временно пользовавшееся чужим имуществом без намерения его приобрести либо чужими услугами, должно возместить потерпевшему то, что оно сберегло вследствие такого пользования, по цене, существовавшей во время, когда закончилось пользование, и в том месте, где оно происходило.» Возмещению подлежит сбережённое по цене, существовавшей во время пользования, а не завышенная расчётная величина.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не начисляются ранее выставления счёта.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1107 ГК РФ: «На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543, 544, 1102 ГК РФ, Основными положениями функционирования розничных рынков электроэнергии,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