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подрядчик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стоимости невозвращённых давальческих материалов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стоимости невозвращённых давальческих материалов [сумма] рублей и процентов.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стоимость материалов, суд не учёл, что они израсходованы на работы, результат которых передан заказчику, передача материалов в заявленном количестве не доказана, а остаток возвращён (пункты 1, 2 и 4 части 1 статьи 270 АПК РФ).</w:t>
      </w:r>
    </w:p>
    <w:p>
      <w:pPr>
        <w:spacing w:after="120" w:line="276" w:lineRule="auto"/>
        <w:ind w:firstLine="709"/>
        <w:jc w:val="both"/>
      </w:pPr>
      <w:r>
        <w:rPr>
          <w:rFonts w:ascii="Times New Roman" w:hAnsi="Times New Roman"/>
          <w:b/>
          <w:i w:val="0"/>
          <w:sz w:val="24"/>
        </w:rPr>
        <w:t>Материалы израсходованы на работы, результат которых передан заказчику.</w:t>
      </w:r>
      <w:r>
        <w:rPr>
          <w:rFonts w:ascii="Times New Roman" w:hAnsi="Times New Roman"/>
          <w:b w:val="0"/>
          <w:i w:val="0"/>
          <w:sz w:val="24"/>
        </w:rPr>
        <w:t xml:space="preserve"> Пунктом 1 статьи 713 ГК РФ установлено: «Подрядчик обязан использовать предоставленный заказчиком материал экономно и расчетливо, после окончания работы представить заказчику отчет об израсходовании материала,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 Подрядчик представил отчёты об использовании материалов [форма М-29 / отчёт по давальческому сырью] вместе с актами КС-2 № [__]; материалы списаны по нормам расхода, предусмотренным проектом. Заказчик эти отчёты принял [или не заявил по ним возражений].</w:t>
      </w:r>
    </w:p>
    <w:p>
      <w:pPr>
        <w:spacing w:after="120" w:line="276" w:lineRule="auto"/>
        <w:ind w:firstLine="709"/>
        <w:jc w:val="both"/>
      </w:pPr>
      <w:r>
        <w:rPr>
          <w:rFonts w:ascii="Times New Roman" w:hAnsi="Times New Roman"/>
          <w:b/>
          <w:i w:val="0"/>
          <w:sz w:val="24"/>
        </w:rPr>
        <w:t>Передача материалов в заявленном количестве не доказана.</w:t>
      </w:r>
      <w:r>
        <w:rPr>
          <w:rFonts w:ascii="Times New Roman" w:hAnsi="Times New Roman"/>
          <w:b w:val="0"/>
          <w:i w:val="0"/>
          <w:sz w:val="24"/>
        </w:rPr>
        <w:t xml:space="preserve"> Истец ссылается на [накладные М-15 без подписи уполномоченного лица подрядчика / внутренние документы заказчика]. Часть материалов фактически не передавалась или передана другому подрядчику, работавшему на объекте. Согласно части 1 статьи 65 АПК РФ количество переданного должен доказать истец.</w:t>
      </w:r>
    </w:p>
    <w:p>
      <w:pPr>
        <w:spacing w:after="120" w:line="276" w:lineRule="auto"/>
        <w:ind w:firstLine="709"/>
        <w:jc w:val="both"/>
      </w:pPr>
      <w:r>
        <w:rPr>
          <w:rFonts w:ascii="Times New Roman" w:hAnsi="Times New Roman"/>
          <w:b/>
          <w:i w:val="0"/>
          <w:sz w:val="24"/>
        </w:rPr>
        <w:t>Остаток материалов возвращён [или находится на объекте в распоряжении заказчика].</w:t>
      </w:r>
      <w:r>
        <w:rPr>
          <w:rFonts w:ascii="Times New Roman" w:hAnsi="Times New Roman"/>
          <w:b w:val="0"/>
          <w:i w:val="0"/>
          <w:sz w:val="24"/>
        </w:rPr>
        <w:t xml:space="preserve"> «[дата]» подрядчик уведомил заказчика о готовности передать остаток [перечень] и предложил забрать его; материалы оставлены на охраняемой площадке заказчика после прекращения договора. Подрядчик не владеет ими, а значит, статья 714 ГК РФ («Подрядчик несет ответственность за несохранность предоставленных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 к нему не применима.</w:t>
      </w:r>
    </w:p>
    <w:p>
      <w:pPr>
        <w:spacing w:after="120" w:line="276" w:lineRule="auto"/>
        <w:ind w:firstLine="709"/>
        <w:jc w:val="both"/>
      </w:pPr>
      <w:r>
        <w:rPr>
          <w:rFonts w:ascii="Times New Roman" w:hAnsi="Times New Roman"/>
          <w:b/>
          <w:i w:val="0"/>
          <w:sz w:val="24"/>
        </w:rPr>
        <w:t>Стоимость материалов определена неверно.</w:t>
      </w:r>
      <w:r>
        <w:rPr>
          <w:rFonts w:ascii="Times New Roman" w:hAnsi="Times New Roman"/>
          <w:b w:val="0"/>
          <w:i w:val="0"/>
          <w:sz w:val="24"/>
        </w:rPr>
        <w:t xml:space="preserve"> Пунктом 1 статьи 1105 ГК РФ установлено: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 Истец указывает [цену новых материалов на дату иска / цену с НДС и транспортными расходами], тогда как значение имеет действительная стоимость на момент приобретения [с учётом частичного использования].</w:t>
      </w:r>
    </w:p>
    <w:p>
      <w:pPr>
        <w:spacing w:after="120" w:line="276" w:lineRule="auto"/>
        <w:ind w:firstLine="709"/>
        <w:jc w:val="both"/>
      </w:pPr>
      <w:r>
        <w:rPr>
          <w:rFonts w:ascii="Times New Roman" w:hAnsi="Times New Roman"/>
          <w:b/>
          <w:i w:val="0"/>
          <w:sz w:val="24"/>
        </w:rPr>
        <w:t>Проценты не начисляются.</w:t>
      </w:r>
      <w:r>
        <w:rPr>
          <w:rFonts w:ascii="Times New Roman" w:hAnsi="Times New Roman"/>
          <w:b w:val="0"/>
          <w:i w:val="0"/>
          <w:sz w:val="24"/>
        </w:rPr>
        <w:t xml:space="preserve">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Подрядчик не знал и не должен был знать о неосновательности удержания: материалы использованы в работах, а претензия о возврате впервые получена «[дата]».</w:t>
      </w:r>
    </w:p>
    <w:p>
      <w:pPr>
        <w:spacing w:after="120" w:line="276" w:lineRule="auto"/>
        <w:ind w:firstLine="709"/>
        <w:jc w:val="both"/>
      </w:pPr>
      <w:r>
        <w:rPr>
          <w:rFonts w:ascii="Times New Roman" w:hAnsi="Times New Roman"/>
          <w:b/>
          <w:i w:val="0"/>
          <w:sz w:val="24"/>
        </w:rPr>
        <w:t>Расход материалов должен быть проверен экспертизой.</w:t>
      </w:r>
      <w:r>
        <w:rPr>
          <w:rFonts w:ascii="Times New Roman" w:hAnsi="Times New Roman"/>
          <w:b w:val="0"/>
          <w:i w:val="0"/>
          <w:sz w:val="24"/>
        </w:rPr>
        <w:t xml:space="preserve"> Спор о количестве израсходованных материалов разрешается сопоставлением объёмов работ с проектными нормами расхода.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строительно-технической экспертизы для определения объёма, стоимости и качества фактически выполненных работ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713, 1102, 1105, 1107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