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(собственник объекта)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лицо, выполнившее работы: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работ, выполненных без заключённого договора [неосновательного обогащения],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работ, выполненных без заключённого договора, [сумма] рублей как неосновательного обогащения.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работ, суд не учёл, что ответчик их не заказывал и не принимал, факт и объём работ не доказаны допустимыми доказательствами, а на объекте работы выполняло другое лицо (пункты 1, 2 и 4 части 1 статьи 270 АПК РФ).</w:t>
      </w:r>
    </w:p>
    <w:p>
      <w:pPr>
        <w:spacing w:after="120" w:line="276" w:lineRule="auto"/>
        <w:ind w:firstLine="709"/>
        <w:jc w:val="both"/>
      </w:pPr>
      <w:r>
        <w:rPr>
          <w:rFonts w:ascii="Times New Roman" w:hAnsi="Times New Roman"/>
          <w:b/>
          <w:i w:val="0"/>
          <w:sz w:val="24"/>
        </w:rPr>
        <w:t>Ответчик не заказывал эти работы и не принимал их результат.</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Ответчик исполнение не принимал и действие договора не подтверждал: [акты не подписаны, оплата не производилась, доступ на объект истцу не предоставлялся / работы велись по заказу третьего лица — [арендатора, генподрядчика]]. Переговоры о возможном договоре (коммерческое предложение от «[дата]») сами по себе договор не создают.</w:t>
      </w:r>
    </w:p>
    <w:p>
      <w:pPr>
        <w:spacing w:after="120" w:line="276" w:lineRule="auto"/>
        <w:ind w:firstLine="709"/>
        <w:jc w:val="both"/>
      </w:pPr>
      <w:r>
        <w:rPr>
          <w:rFonts w:ascii="Times New Roman" w:hAnsi="Times New Roman"/>
          <w:b/>
          <w:i w:val="0"/>
          <w:sz w:val="24"/>
        </w:rPr>
        <w:t>Факт и объём работ не доказаны допустимыми доказательствами.</w:t>
      </w:r>
      <w:r>
        <w:rPr>
          <w:rFonts w:ascii="Times New Roman" w:hAnsi="Times New Roman"/>
          <w:b w:val="0"/>
          <w:i w:val="0"/>
          <w:sz w:val="24"/>
        </w:rPr>
        <w:t xml:space="preserve"> Пунктом 1 статьи 162 ГК РФ установлено: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Истец ссылается на [переписку в мессенджере с неустановленным лицом, фотографии без привязки ко времени и месту, акты, составленные им самим]. Эти документы не подтверждают ни выполнение работ на объекте ответчика, ни их объём.</w:t>
      </w:r>
    </w:p>
    <w:p>
      <w:pPr>
        <w:spacing w:after="120" w:line="276" w:lineRule="auto"/>
        <w:ind w:firstLine="709"/>
        <w:jc w:val="both"/>
      </w:pPr>
      <w:r>
        <w:rPr>
          <w:rFonts w:ascii="Times New Roman" w:hAnsi="Times New Roman"/>
          <w:b/>
          <w:i w:val="0"/>
          <w:sz w:val="24"/>
        </w:rPr>
        <w:t>Работы выполнены другим лицом.</w:t>
      </w:r>
      <w:r>
        <w:rPr>
          <w:rFonts w:ascii="Times New Roman" w:hAnsi="Times New Roman"/>
          <w:b w:val="0"/>
          <w:i w:val="0"/>
          <w:sz w:val="24"/>
        </w:rPr>
        <w:t xml:space="preserve"> На объекте в спорный период работал [наименование подрядчика] по договору от «[дата]» № [__]; работы [указать] приняты и оплачены ответчиком ему (акты КС-2, платёжные поручения). Повторная оплата тех же работ недопустима.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Результат работ [не имеет для ответчика потребительской ценности / был демонтирован как не соответствующий требованиям / использование его невозможно]. Согласно подпункту 4 статьи 1109 ГК РФ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[Если истец выполнял работы, зная, что договора нет, на свой риск.]</w:t>
      </w:r>
    </w:p>
    <w:p>
      <w:pPr>
        <w:spacing w:after="120" w:line="276" w:lineRule="auto"/>
        <w:ind w:firstLine="709"/>
        <w:jc w:val="both"/>
      </w:pPr>
      <w:r>
        <w:rPr>
          <w:rFonts w:ascii="Times New Roman" w:hAnsi="Times New Roman"/>
          <w:b/>
          <w:i w:val="0"/>
          <w:sz w:val="24"/>
        </w:rPr>
        <w:t>Стоимость определена произвольно.</w:t>
      </w:r>
      <w:r>
        <w:rPr>
          <w:rFonts w:ascii="Times New Roman" w:hAnsi="Times New Roman"/>
          <w:b w:val="0"/>
          <w:i w:val="0"/>
          <w:sz w:val="24"/>
        </w:rPr>
        <w:t xml:space="preserve"> Пунктом 1 статьи 1105 ГК РФ установлено: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Истец применил собственные расценки; действительная стоимость, если работы будут доказаны, подлежит определению экспертизой.</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1105, 1109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