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стоимости утраченной (повреждённой) вещи, переданной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стоимости утраченной (повреждённой) вещи, переданной на хранение,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вещи, суд не учёл, что безвозмездный хранитель-гражданин отвечает только при вине, повреждение вызвано свойствами вещи, о которых поклажедатель не предупредил, а размер ответственности безвозмездного хранителя ограничен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Хранитель-гражданин отвечает только при вине.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901 Гражданского кодекса Российской Федерации (далее — ГК РФ) установлено: «Хранитель отвечает за утрату, недостачу или повреждение вещей, принятых на хранение, по основаниям, предусмотренным статьей 401 настоящего Кодекса.» Ответчик хранил вещь безвозмездно, не является профессиональным хранителем и принял все меры для её сохранности: [вещь находилась в запертом гараже / квартире; утрата произошла в результате [кражи — постановление о возбуждении уголовного дела, пожара по вине третьих лиц]]. Вины ответчика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Повреждение вызвано свойствами вещи, о которых истец не предупредил.</w:t>
      </w:r>
      <w:r>
        <w:rPr>
          <w:rFonts w:ascii="Times New Roman" w:hAnsi="Times New Roman"/>
          <w:b w:val="0"/>
          <w:i w:val="0"/>
          <w:sz w:val="24"/>
        </w:rPr>
        <w:t xml:space="preserve"> Даже профессиональный хранитель освобождается от ответственности в случаях, указанных в абзаце втором пункта 1 статьи 901 ГК РФ: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Тем более это относится к безвозмездному хранителю. [Вещь имела [скрытые дефекты / требовала особых условий хранения], о чём поклажедатель не сообщил.]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ответственности безвозмездного хранителя ограничен.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902 ГК РФ: «При безвозмездном хранении убытки, причиненные поклажедателю утратой, недостачей или повреждением вещей, возмещаются:» «за утрату и недостачу вещей - в размере стоимости утраченных или недостающих вещей» «за повреждение вещей - в размере суммы, на которую понизилась их стоимость.» Стоимость вещи определяется с учётом износа на момент утраты, а не по цене новой. [Сумма, указанная истцом, — цена нового аналога; рыночная стоимость с учётом [__] лет эксплуатации —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Вещь возвращена [или поклажедатель уклонился от её получения].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900 ГК РФ: «Хранитель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890).» [Вещь возвращена «[дата]» в том состоянии, в каком была принята, с учётом естественного износа (пункт 2 статьи 900 ГК РФ: «Вещь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свойств.») / ответчик неоднократно предлагал истцу забрать вещь, истец не явился — после истечения срока хранения ответственность хранителя ограничивается умыслом и грубой неосторожностью.]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передачи вещи на хранение не доказан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[Письменного договора или квитанции нет; вещь оставлена истцом в помещении ответчика без его согласия / была передана в пользование, а не на хранение.]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возврата [наступил «[дата]» / требование о возврате предъявлено «[дата]»];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886, 887, 901, 902, 903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