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стоимости вещи, переданной в безвозмездное пользование, и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стоимости вещи, переданной в безвозмездное пользование, [сумма] рублей [и убытков].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вещи, суд не учёл, что вещь возвращена [или готова к возврату] с нормальным износом, недостатки существовали при передаче, а риск случайной гибели при использовании по назначению на ссудополучателе не лежит; размер определён по цене новой вещи (пункты 1, 2 и 4 части 1 статьи 330 ГПК РФ).</w:t>
      </w:r>
    </w:p>
    <w:p>
      <w:pPr>
        <w:spacing w:after="120" w:line="276" w:lineRule="auto"/>
        <w:ind w:firstLine="709"/>
        <w:jc w:val="both"/>
      </w:pPr>
      <w:r>
        <w:rPr>
          <w:rFonts w:ascii="Times New Roman" w:hAnsi="Times New Roman"/>
          <w:b/>
          <w:i w:val="0"/>
          <w:sz w:val="24"/>
        </w:rPr>
        <w:t>Вещь возвращена [или готова к возврату] в том состоянии, в каком получена, с учётом нормального износа.</w:t>
      </w:r>
      <w:r>
        <w:rPr>
          <w:rFonts w:ascii="Times New Roman" w:hAnsi="Times New Roman"/>
          <w:b w:val="0"/>
          <w:i w:val="0"/>
          <w:sz w:val="24"/>
        </w:rPr>
        <w:t xml:space="preserve"> Пунктом 1 статьи 689 Гражданского кодекса Российской Федерации (далее — ГК РФ) установлено: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 Ответчик [возвратил вещь «[дата]» — расписка / неоднократно предлагал истцу забрать вещь — переписка, истец уклоняется]. Износ, возникший при обычном использовании вещи по назначению, ответственности ссудополучателя не влечёт.</w:t>
      </w:r>
    </w:p>
    <w:p>
      <w:pPr>
        <w:spacing w:after="120" w:line="276" w:lineRule="auto"/>
        <w:ind w:firstLine="709"/>
        <w:jc w:val="both"/>
      </w:pPr>
      <w:r>
        <w:rPr>
          <w:rFonts w:ascii="Times New Roman" w:hAnsi="Times New Roman"/>
          <w:b/>
          <w:i w:val="0"/>
          <w:sz w:val="24"/>
        </w:rPr>
        <w:t>Недостатки существовали при передаче вещи.</w:t>
      </w:r>
      <w:r>
        <w:rPr>
          <w:rFonts w:ascii="Times New Roman" w:hAnsi="Times New Roman"/>
          <w:b w:val="0"/>
          <w:i w:val="0"/>
          <w:sz w:val="24"/>
        </w:rPr>
        <w:t xml:space="preserve"> Статьёй 693 ГК РФ установлено: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 Пунктом 3 той же статьи: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 [При передаче акт состояния не составлялся; вещь уже имела [повреждения, износ __ %], что подтверждают [фото, показания свидетелей]. Истец не доказал состояние вещи на момент передачи.]</w:t>
      </w:r>
    </w:p>
    <w:p>
      <w:pPr>
        <w:spacing w:after="120" w:line="276" w:lineRule="auto"/>
        <w:ind w:firstLine="709"/>
        <w:jc w:val="both"/>
      </w:pPr>
      <w:r>
        <w:rPr>
          <w:rFonts w:ascii="Times New Roman" w:hAnsi="Times New Roman"/>
          <w:b/>
          <w:i w:val="0"/>
          <w:sz w:val="24"/>
        </w:rPr>
        <w:t>Риск случайной гибели или повреждения на ответчике не лежит.</w:t>
      </w:r>
      <w:r>
        <w:rPr>
          <w:rFonts w:ascii="Times New Roman" w:hAnsi="Times New Roman"/>
          <w:b w:val="0"/>
          <w:i w:val="0"/>
          <w:sz w:val="24"/>
        </w:rPr>
        <w:t xml:space="preserve"> Статьёй 696 ГК РФ ссудополучатель несёт такой риск лишь в определённых случаях: «Ссудополучатель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 Вещь [использовалась строго по назначению, не передавалась третьим лицам; повреждение произошло в результате [пожара по вине третьих лиц / стихийного бедствия], которого нельзя было избежать при обычном использовании].</w:t>
      </w:r>
    </w:p>
    <w:p>
      <w:pPr>
        <w:spacing w:after="120" w:line="276" w:lineRule="auto"/>
        <w:ind w:firstLine="709"/>
        <w:jc w:val="both"/>
      </w:pPr>
      <w:r>
        <w:rPr>
          <w:rFonts w:ascii="Times New Roman" w:hAnsi="Times New Roman"/>
          <w:b/>
          <w:i w:val="0"/>
          <w:sz w:val="24"/>
        </w:rPr>
        <w:t>Размер ущерба завышен.</w:t>
      </w:r>
      <w:r>
        <w:rPr>
          <w:rFonts w:ascii="Times New Roman" w:hAnsi="Times New Roman"/>
          <w:b w:val="0"/>
          <w:i w:val="0"/>
          <w:sz w:val="24"/>
        </w:rPr>
        <w:t xml:space="preserve"> Истец оценил вещь по цене новой [сумма] рублей, хотя на момент передачи ей было [__] лет, износ — [__] %. Рыночная стоимость с учётом износа — [сумма] рублей [отчёт / сведения о ценах на аналогичные б/у вещи].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оценочной экспертизы.</w:t>
      </w:r>
    </w:p>
    <w:p>
      <w:pPr>
        <w:spacing w:after="120" w:line="276" w:lineRule="auto"/>
        <w:ind w:firstLine="709"/>
        <w:jc w:val="both"/>
      </w:pPr>
      <w:r>
        <w:rPr>
          <w:rFonts w:ascii="Times New Roman" w:hAnsi="Times New Roman"/>
          <w:b/>
          <w:i w:val="0"/>
          <w:sz w:val="24"/>
        </w:rPr>
        <w:t>Договор ссуды не доказан [если применимо].</w:t>
      </w:r>
      <w:r>
        <w:rPr>
          <w:rFonts w:ascii="Times New Roman" w:hAnsi="Times New Roman"/>
          <w:b w:val="0"/>
          <w:i w:val="0"/>
          <w:sz w:val="24"/>
        </w:rPr>
        <w:t xml:space="preserve"> [Вещь была подарена / передана в счёт долга истца перед ответчиком / принадлежит ответчику — документы о покупке]. Письменного договора ссуды нет, а истец не доказал, что передал вещь именно во временное пользование.]</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Пунктом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689, 693, 696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