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страховщик (заявитель апелляционной жалобы): </w:t>
      </w:r>
      <w:r>
        <w:rPr>
          <w:rFonts w:ascii="Times New Roman" w:hAnsi="Times New Roman"/>
          <w:b w:val="0"/>
          <w:i w:val="0"/>
          <w:sz w:val="24"/>
        </w:rPr>
        <w:t>[наименование страховщика]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страхового возмещения по договору ОСАГО, неустойки, штрафа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страхового возмещения по договору ОСАГО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доплату, суд не учёл, что страховщик исполнил обязательство в установленный срок, размер возмещения определён по Единой методике, а истец не представил транспортное средство на осмотр [не воспользовался направлением на ремонт] (пункты 1 и 4 части 1 статьи 330 ГПК РФ).</w:t>
      </w:r>
    </w:p>
    <w:p>
      <w:pPr>
        <w:spacing w:after="120" w:line="276" w:lineRule="auto"/>
        <w:ind w:firstLine="709"/>
        <w:jc w:val="both"/>
      </w:pPr>
      <w:r>
        <w:rPr>
          <w:rFonts w:ascii="Times New Roman" w:hAnsi="Times New Roman"/>
          <w:b/>
          <w:i w:val="0"/>
          <w:sz w:val="24"/>
        </w:rPr>
        <w:t>Обязательство страховщика исполнено в установленный срок.</w:t>
      </w:r>
      <w:r>
        <w:rPr>
          <w:rFonts w:ascii="Times New Roman" w:hAnsi="Times New Roman"/>
          <w:b w:val="0"/>
          <w:i w:val="0"/>
          <w:sz w:val="24"/>
        </w:rPr>
        <w:t xml:space="preserve"> Пунктом 21 статьи 12 Федерального закона «Об обязательном страховании гражданской ответственности владельцев транспортных средств» (далее — Закон об ОСАГО) установлено: «В течение 20 календарных дней, за исключением нерабочих праздничных дней, а в случае, предусмотренном пунктом 15.3 настоящей статьи, 30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 Заявление получено «[дата]»; [страховая выплата в размере [сумма] рублей произведена «[дата]» / направление на ремонт на СТОА [наименование] выдано «[дата]»], то есть в пределах двадцати дней. Пунктом 5 статьи 16.1 Закона об ОСАГО: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Федеральным законом "Об уполномоченном по правам потребителей финансовых услуг", а также если страховщик докажет, что нарушение сроков произошло вследствие непреодолимой силы или по вине потерпевшего.»</w:t>
      </w:r>
    </w:p>
    <w:p>
      <w:pPr>
        <w:spacing w:after="120" w:line="276" w:lineRule="auto"/>
        <w:ind w:firstLine="709"/>
        <w:jc w:val="both"/>
      </w:pPr>
      <w:r>
        <w:rPr>
          <w:rFonts w:ascii="Times New Roman" w:hAnsi="Times New Roman"/>
          <w:b/>
          <w:i w:val="0"/>
          <w:sz w:val="24"/>
        </w:rPr>
        <w:t>Размер возмещения определён по Единой методике и выплачен полностью.</w:t>
      </w:r>
      <w:r>
        <w:rPr>
          <w:rFonts w:ascii="Times New Roman" w:hAnsi="Times New Roman"/>
          <w:b w:val="0"/>
          <w:i w:val="0"/>
          <w:sz w:val="24"/>
        </w:rPr>
        <w:t xml:space="preserve"> Размер расходов на восстановительный ремонт определяется в соответствии с единой методикой, утверждённой Банком России, с учётом износа (при денежной выплате) (пункт 19 статьи 12 Закона об ОСАГО). Пунктом 3.5 Положения Банка России от 04.03.2021 № 755-П «О единой методике определения размера расходов на восстановительный ремонт в отношении повреждённого транспортного средства» установлено: «Расхождение в результатах расчетов размера расходов на восстановительный ремонт в отношении транспортного средства, выполненных различными специалистами, следует признавать находящимся в пределах статистической достоверности за счет использования различных технологических решений и погрешностей расчета, если оно не превышает 10 процентов при совпадающем перечне поврежденных деталей (за исключением крепежных элементов, деталей разового монтажа). Предел погрешности рассчитывается как отношение разницы между результатами первичной и повторной экспертизы (в случае проведения повторной экспертизы), к результату первичной экспертизы. Предел погрешности не может применяться в случае проведения расчета размера расходов с использованием замены деталей на бывшие в употреблении.» Расхождение между экспертизой страховщика и заключением истца составляет [__] %, то есть менее 10 % при совпадающем перечне повреждённых деталей. [Заключение истца выполнено по среднерыночным ценам, а не по Единой методике, и является недопустимым доказательством размера страхового возмещения по ОСАГО.]</w:t>
      </w:r>
    </w:p>
    <w:p>
      <w:pPr>
        <w:spacing w:after="120" w:line="276" w:lineRule="auto"/>
        <w:ind w:firstLine="709"/>
        <w:jc w:val="both"/>
      </w:pPr>
      <w:r>
        <w:rPr>
          <w:rFonts w:ascii="Times New Roman" w:hAnsi="Times New Roman"/>
          <w:b/>
          <w:i w:val="0"/>
          <w:sz w:val="24"/>
        </w:rPr>
        <w:t>[Если выдано направление на ремонт:] Истец не воспользовался ремонтом.</w:t>
      </w:r>
      <w:r>
        <w:rPr>
          <w:rFonts w:ascii="Times New Roman" w:hAnsi="Times New Roman"/>
          <w:b w:val="0"/>
          <w:i w:val="0"/>
          <w:sz w:val="24"/>
        </w:rPr>
        <w:t xml:space="preserve"> Абзацем вторым пункта 15.1 статьи 12 Закона об ОСАГО: «Страховщик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положений абзаца второго пункта 19 настоящей статьи.» Истец получил направление «[дата]», но транспортное средство на СТОА не представил; оснований для смены формы возмещения на денежную нет.</w:t>
      </w:r>
    </w:p>
    <w:p>
      <w:pPr>
        <w:spacing w:after="120" w:line="276" w:lineRule="auto"/>
        <w:ind w:firstLine="709"/>
        <w:jc w:val="both"/>
      </w:pPr>
      <w:r>
        <w:rPr>
          <w:rFonts w:ascii="Times New Roman" w:hAnsi="Times New Roman"/>
          <w:b/>
          <w:i w:val="0"/>
          <w:sz w:val="24"/>
        </w:rPr>
        <w:t>Истец не представил транспортное средство на осмотр.</w:t>
      </w:r>
      <w:r>
        <w:rPr>
          <w:rFonts w:ascii="Times New Roman" w:hAnsi="Times New Roman"/>
          <w:b w:val="0"/>
          <w:i w:val="0"/>
          <w:sz w:val="24"/>
        </w:rPr>
        <w:t xml:space="preserve"> Пунктом 11 статьи 12 Закона об ОСАГО: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пунктами 10 и 13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страховом возмещении, определенный в соответствии с пунктом 21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 [Осмотр назначался «[дата]» и «[дата]», истец не явился — заявление возвращено «[дата]»]. Результаты самостоятельно организованной экспертизы в такой ситуации не принимаются для определения размера возмещения.</w:t>
      </w:r>
    </w:p>
    <w:p>
      <w:pPr>
        <w:spacing w:after="120" w:line="276" w:lineRule="auto"/>
        <w:ind w:firstLine="709"/>
        <w:jc w:val="both"/>
      </w:pPr>
      <w:r>
        <w:rPr>
          <w:rFonts w:ascii="Times New Roman" w:hAnsi="Times New Roman"/>
          <w:b/>
          <w:i w:val="0"/>
          <w:sz w:val="24"/>
        </w:rPr>
        <w:t>Неустойка ограничена и подлежит снижению.</w:t>
      </w:r>
      <w:r>
        <w:rPr>
          <w:rFonts w:ascii="Times New Roman" w:hAnsi="Times New Roman"/>
          <w:b w:val="0"/>
          <w:i w:val="0"/>
          <w:sz w:val="24"/>
        </w:rPr>
        <w:t xml:space="preserve"> Абзацем вторым пункта 21 статьи 12 Закона об ОСАГО: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 При возмещении вреда на основании пунктов 15.1 - 15.3 настоящей статьи в случае нарушения установленного абзацем вторым пункта 15.2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абзацем вторым пункта 15.2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 Пунктом 6 статьи 16.1: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 по Закону об ОСАГО и только от суммы страхового возмещения.</w:t>
      </w:r>
      <w:r>
        <w:rPr>
          <w:rFonts w:ascii="Times New Roman" w:hAnsi="Times New Roman"/>
          <w:b w:val="0"/>
          <w:i w:val="0"/>
          <w:sz w:val="24"/>
        </w:rPr>
        <w:t xml:space="preserve"> Пунктом 3 статьи 16.1 Закона об ОСАГО: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Штраф не начисляется на неустойку, компенсацию морального вреда и судебные расходы; страховщик освобождается от штрафа при исполнении решения финансового уполномоченного («Страховщик освобождается от уплаты штрафа, предусмотренного абзацем первым настоящего пункта, в случае исполнения страховщиком вступившего в силу решения уполномоченного по правам потребителей финансовых услуг в соответствии с Федеральным законом "Об уполномоченном по правам потребителей финансовых услуг" в порядке и в сроки, которые установлены указанным решением.»).</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16.1 Федерального закона «Об ОСАГО»,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