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страховщик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страхователь: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страхового возмещения по договору страхования имущества и расходов на уменьшение убытков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страхового возмещения по договору страхования имущества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возмещение, суд не учёл, что событие не является страховым случаем по условиям договора, имущество застраховано не на полную стоимость, а объём и стоимость уничтоженного имущества не подтверждены (пункты 1, 2 и 4 части 1 статьи 270 АПК РФ).</w:t>
      </w:r>
    </w:p>
    <w:p>
      <w:pPr>
        <w:spacing w:after="120" w:line="276" w:lineRule="auto"/>
        <w:ind w:firstLine="709"/>
        <w:jc w:val="both"/>
      </w:pPr>
      <w:r>
        <w:rPr>
          <w:rFonts w:ascii="Times New Roman" w:hAnsi="Times New Roman"/>
          <w:b/>
          <w:i w:val="0"/>
          <w:sz w:val="24"/>
        </w:rPr>
        <w:t>Событие не является страховым случаем по условиям договора и правил страхования.</w:t>
      </w:r>
      <w:r>
        <w:rPr>
          <w:rFonts w:ascii="Times New Roman" w:hAnsi="Times New Roman"/>
          <w:b w:val="0"/>
          <w:i w:val="0"/>
          <w:sz w:val="24"/>
        </w:rPr>
        <w:t xml:space="preserve"> Пунктом 2 статьи 943 ГК РФ установлено: «Условия, содержащиеся в правилах страхования и не включенные в текст договора страхования (страхового полиса), обязательны для страхователя (выгодоприобретателя), если в договоре (страховом полисе) прямо указывается на применение таких правил и сами правила изложены в одном документе с договором (страховым полисом) или на его оборотной стороне либо приложены к нему. В последнем случае вручение страхователю при заключении договора правил страхования должно быть удостоверено записью в договоре.» В полисе есть ссылка на Правила страхования [наименование, редакция от «[дата]»], которые страхователь получил (отметка в полисе). Пунктом [__] Правил [событие: кража без признаков взлома / залив из-за неисправности кровли, о которой страхователь знал / пожар вследствие нарушения правил противопожарной безопасности, выявленного ранее предписанием МЧС] исключено из страхового покрытия.</w:t>
      </w:r>
    </w:p>
    <w:p>
      <w:pPr>
        <w:spacing w:after="120" w:line="276" w:lineRule="auto"/>
        <w:ind w:firstLine="709"/>
        <w:jc w:val="both"/>
      </w:pPr>
      <w:r>
        <w:rPr>
          <w:rFonts w:ascii="Times New Roman" w:hAnsi="Times New Roman"/>
          <w:b/>
          <w:i w:val="0"/>
          <w:sz w:val="24"/>
        </w:rPr>
        <w:t>Неполное страхование: возмещение пропорционально.</w:t>
      </w:r>
      <w:r>
        <w:rPr>
          <w:rFonts w:ascii="Times New Roman" w:hAnsi="Times New Roman"/>
          <w:b w:val="0"/>
          <w:i w:val="0"/>
          <w:sz w:val="24"/>
        </w:rPr>
        <w:t xml:space="preserve"> Статьёй 949 ГК РФ установлено: «Если в договоре страхования имущества или предпринимательского риска страховая сумма установлена ниже страховой стоимости, страховщик при наступлении страхового случая обязан возместить страхователю (выгодоприобретателю) часть понесенных последним убытков пропорционально отношению страховой суммы к страховой стоимости.» Имущество застраховано на [сумма] рублей при действительной стоимости [сумма] рублей (пункт 2 статьи 947 ГК РФ: «При страховании имущества или предпринимательского риска, если договором страхования не предусмотрено иное, страховая сумма не должна превышать их действительную стоимость (страховой стоимости). Такой стоимостью считается:» «для имущества его действительная стоимость в месте его нахождения в день заключения договора страхования»); возмещение — не более [__] % ущерба.</w:t>
      </w:r>
    </w:p>
    <w:p>
      <w:pPr>
        <w:spacing w:after="120" w:line="276" w:lineRule="auto"/>
        <w:ind w:firstLine="709"/>
        <w:jc w:val="both"/>
      </w:pPr>
      <w:r>
        <w:rPr>
          <w:rFonts w:ascii="Times New Roman" w:hAnsi="Times New Roman"/>
          <w:b/>
          <w:i w:val="0"/>
          <w:sz w:val="24"/>
        </w:rPr>
        <w:t>Расходы на уменьшение убытков не были необходимыми.</w:t>
      </w:r>
      <w:r>
        <w:rPr>
          <w:rFonts w:ascii="Times New Roman" w:hAnsi="Times New Roman"/>
          <w:b w:val="0"/>
          <w:i w:val="0"/>
          <w:sz w:val="24"/>
        </w:rPr>
        <w:t xml:space="preserve"> Пунктом 2 статьи 962 ГК РФ установлено: «Расходы в целях уменьшения убытков, подлежащих возмещению страховщиком, если такие расходы были необходимы или были произведены для выполнения указаний страховщика, должны быть возмещены страховщиком, даже если соответствующие меры оказались безуспешными.» «Такие расходы возмещаются пропорционально отношению страховой суммы к страховой стоимости независимо от того, что вместе с возмещением других убытков они могут превысить страховую сумму.» Заявленные расходы [на аренду временного склада, охрану, демонтаж] произведены [после устранения опасности / в интересах продолжения деятельности, а не уменьшения убытков].</w:t>
      </w:r>
    </w:p>
    <w:p>
      <w:pPr>
        <w:spacing w:after="120" w:line="276" w:lineRule="auto"/>
        <w:ind w:firstLine="709"/>
        <w:jc w:val="both"/>
      </w:pPr>
      <w:r>
        <w:rPr>
          <w:rFonts w:ascii="Times New Roman" w:hAnsi="Times New Roman"/>
          <w:b/>
          <w:i w:val="0"/>
          <w:sz w:val="24"/>
        </w:rPr>
        <w:t>Страхователь умышленно не принял мер к уменьшению убытков.</w:t>
      </w:r>
      <w:r>
        <w:rPr>
          <w:rFonts w:ascii="Times New Roman" w:hAnsi="Times New Roman"/>
          <w:b w:val="0"/>
          <w:i w:val="0"/>
          <w:sz w:val="24"/>
        </w:rPr>
        <w:t xml:space="preserve"> Пунктом 3 статьи 962 ГК РФ установлено: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 [Повреждённое имущество неделями оставалось под открытым небом / не была перекрыта вода после обнаружения залива.]</w:t>
      </w:r>
    </w:p>
    <w:p>
      <w:pPr>
        <w:spacing w:after="120" w:line="276" w:lineRule="auto"/>
        <w:ind w:firstLine="709"/>
        <w:jc w:val="both"/>
      </w:pPr>
      <w:r>
        <w:rPr>
          <w:rFonts w:ascii="Times New Roman" w:hAnsi="Times New Roman"/>
          <w:b/>
          <w:i w:val="0"/>
          <w:sz w:val="24"/>
        </w:rPr>
        <w:t>Объём и стоимость уничтоженного имущества не подтверждены.</w:t>
      </w:r>
      <w:r>
        <w:rPr>
          <w:rFonts w:ascii="Times New Roman" w:hAnsi="Times New Roman"/>
          <w:b w:val="0"/>
          <w:i w:val="0"/>
          <w:sz w:val="24"/>
        </w:rPr>
        <w:t xml:space="preserve"> Истец не представил [инвентаризационные описи до и после события, документы о приобретении, данные бухгалтерского учёта]; по краже — перечень похищенного противоречит протоколу осмотра места происшествия.</w:t>
      </w:r>
    </w:p>
    <w:p>
      <w:pPr>
        <w:spacing w:after="120" w:line="276" w:lineRule="auto"/>
        <w:ind w:firstLine="709"/>
        <w:jc w:val="both"/>
      </w:pPr>
      <w:r>
        <w:rPr>
          <w:rFonts w:ascii="Times New Roman" w:hAnsi="Times New Roman"/>
          <w:b/>
          <w:i w:val="0"/>
          <w:sz w:val="24"/>
        </w:rPr>
        <w:t>Размер ущерба подлежит определению судебной экспертизой.</w:t>
      </w:r>
      <w:r>
        <w:rPr>
          <w:rFonts w:ascii="Times New Roman" w:hAnsi="Times New Roman"/>
          <w:b w:val="0"/>
          <w:i w:val="0"/>
          <w:sz w:val="24"/>
        </w:rPr>
        <w:t xml:space="preserve"> Заключение, представленное истцом, [выполнено без вызова страховщика на осмотр / не учитывает износ / включает повреждения, не относящиеся к событию]. 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[автотехнической / товароведческой / оценочной] экспертизы (часть 1 статьи 82 АПК РФ: «Для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929, 942, 949, 962, 963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