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line="276" w:lineRule="auto"/>
        <w:jc w:val="right"/>
      </w:pPr>
      <w:r>
        <w:rPr>
          <w:rFonts w:ascii="Times New Roman" w:hAnsi="Times New Roman"/>
          <w:b w:val="0"/>
          <w:i w:val="0"/>
          <w:sz w:val="24"/>
        </w:rPr>
        <w:t>В [наименование арбитражного апелляционного суда]</w:t>
      </w:r>
      <w:r>
        <w:rPr>
          <w:rFonts w:ascii="Times New Roman" w:hAnsi="Times New Roman"/>
          <w:b w:val="0"/>
          <w:i w:val="0"/>
          <w:sz w:val="24"/>
        </w:rPr>
        <w:br/>
        <w:t>[адрес суда]</w:t>
      </w:r>
      <w:r>
        <w:rPr>
          <w:rFonts w:ascii="Times New Roman" w:hAnsi="Times New Roman"/>
          <w:b w:val="0"/>
          <w:i w:val="0"/>
          <w:sz w:val="24"/>
        </w:rPr>
        <w:br/>
        <w:t>через Арбитражный суд [наименование субъекта РФ]</w:t>
      </w:r>
      <w:r>
        <w:rPr>
          <w:rFonts w:ascii="Times New Roman" w:hAnsi="Times New Roman"/>
          <w:b w:val="0"/>
          <w:i w:val="0"/>
          <w:sz w:val="24"/>
        </w:rPr>
        <w:br/>
        <w:t>Дело № А[__]-[_____]/20[__]</w:t>
      </w:r>
    </w:p>
    <w:p>
      <w:pPr>
        <w:spacing w:after="160" w:line="276" w:lineRule="auto"/>
        <w:jc w:val="right"/>
      </w:pPr>
      <w:r>
        <w:rPr>
          <w:rFonts w:ascii="Times New Roman" w:hAnsi="Times New Roman"/>
          <w:b/>
          <w:i w:val="0"/>
          <w:sz w:val="24"/>
        </w:rPr>
        <w:t xml:space="preserve">Ответчик — гарантирующий поставщик (заявитель апелляционной жалобы): </w:t>
      </w:r>
      <w:r>
        <w:rPr>
          <w:rFonts w:ascii="Times New Roman" w:hAnsi="Times New Roman"/>
          <w:b w:val="0"/>
          <w:i w:val="0"/>
          <w:sz w:val="24"/>
        </w:rPr>
        <w:t>[полное наименование организации / Ф. И. О. индивидуального предпринимателя]</w:t>
      </w:r>
      <w:r>
        <w:rPr>
          <w:rFonts w:ascii="Times New Roman" w:hAnsi="Times New Roman"/>
          <w:b w:val="0"/>
          <w:i w:val="0"/>
          <w:sz w:val="24"/>
        </w:rPr>
        <w:br/>
        <w:t>адрес: [адрес из ЕГРЮЛ / ЕГРИП]</w:t>
      </w:r>
      <w:r>
        <w:rPr>
          <w:rFonts w:ascii="Times New Roman" w:hAnsi="Times New Roman"/>
          <w:b w:val="0"/>
          <w:i w:val="0"/>
          <w:sz w:val="24"/>
        </w:rPr>
        <w:br/>
        <w:t>ИНН [__________], ОГРН [__________]</w:t>
      </w:r>
      <w:r>
        <w:rPr>
          <w:rFonts w:ascii="Times New Roman" w:hAnsi="Times New Roman"/>
          <w:b w:val="0"/>
          <w:i w:val="0"/>
          <w:sz w:val="24"/>
        </w:rPr>
        <w:br/>
        <w:t>телефон: [вписать], адрес электронной почты: [вписать]</w:t>
      </w:r>
    </w:p>
    <w:p>
      <w:pPr>
        <w:spacing w:after="160" w:line="276" w:lineRule="auto"/>
        <w:jc w:val="right"/>
      </w:pPr>
      <w:r>
        <w:rPr>
          <w:rFonts w:ascii="Times New Roman" w:hAnsi="Times New Roman"/>
          <w:b/>
          <w:i w:val="0"/>
          <w:sz w:val="24"/>
        </w:rPr>
        <w:t xml:space="preserve">Истец — потребитель: </w:t>
      </w:r>
      <w:r>
        <w:rPr>
          <w:rFonts w:ascii="Times New Roman" w:hAnsi="Times New Roman"/>
          <w:b w:val="0"/>
          <w:i w:val="0"/>
          <w:sz w:val="24"/>
        </w:rPr>
        <w:t>[наименование]</w:t>
      </w:r>
      <w:r>
        <w:rPr>
          <w:rFonts w:ascii="Times New Roman" w:hAnsi="Times New Roman"/>
          <w:b w:val="0"/>
          <w:i w:val="0"/>
          <w:sz w:val="24"/>
        </w:rPr>
        <w:br/>
        <w:t>адрес: [адрес]</w:t>
      </w:r>
      <w:r>
        <w:rPr>
          <w:rFonts w:ascii="Times New Roman" w:hAnsi="Times New Roman"/>
          <w:b w:val="0"/>
          <w:i w:val="0"/>
          <w:sz w:val="24"/>
        </w:rPr>
        <w:br/>
        <w:t>ИНН [__________], ОГРН [__________]</w:t>
      </w:r>
    </w:p>
    <w:p>
      <w:pPr>
        <w:spacing w:after="160" w:line="276" w:lineRule="auto"/>
        <w:jc w:val="right"/>
      </w:pPr>
      <w:r>
        <w:rPr>
          <w:rFonts w:ascii="Times New Roman" w:hAnsi="Times New Roman"/>
          <w:b/>
          <w:i w:val="0"/>
          <w:sz w:val="24"/>
        </w:rPr>
        <w:t xml:space="preserve">Госпошлина: </w:t>
      </w:r>
      <w:r>
        <w:rPr>
          <w:rFonts w:ascii="Times New Roman" w:hAnsi="Times New Roman"/>
          <w:b w:val="0"/>
          <w:i w:val="0"/>
          <w:sz w:val="24"/>
        </w:rPr>
        <w:t>30 000 руб. для организации / 10 000 руб. для индивидуального предпринимателя (подп. 19 п. 1 ст. 333.21 НК РФ)</w:t>
      </w:r>
    </w:p>
    <w:p>
      <w:pPr>
        <w:spacing w:after="0" w:line="276" w:lineRule="auto"/>
        <w:jc w:val="center"/>
      </w:pPr>
      <w:r>
        <w:rPr>
          <w:rFonts w:ascii="Times New Roman" w:hAnsi="Times New Roman"/>
          <w:b/>
          <w:i w:val="0"/>
          <w:sz w:val="24"/>
        </w:rPr>
        <w:t>АПЕЛЛЯЦИОННАЯ ЖАЛОБА</w:t>
      </w:r>
    </w:p>
    <w:p>
      <w:pPr>
        <w:spacing w:after="240" w:line="276" w:lineRule="auto"/>
        <w:jc w:val="center"/>
      </w:pPr>
      <w:r>
        <w:rPr>
          <w:rFonts w:ascii="Times New Roman" w:hAnsi="Times New Roman"/>
          <w:b/>
          <w:i w:val="0"/>
          <w:sz w:val="24"/>
        </w:rPr>
        <w:t>на решение Арбитражного суда [наименование] от «[дата]» по делу № А[__]-[_____]/20[__] о взыскании убытков, причинённых введением ограничения режима потребления электрической энергии</w:t>
      </w:r>
    </w:p>
    <w:p>
      <w:pPr>
        <w:spacing w:after="120" w:line="276" w:lineRule="auto"/>
        <w:jc w:val="center"/>
      </w:pPr>
      <w:r>
        <w:rPr>
          <w:rFonts w:ascii="Times New Roman" w:hAnsi="Times New Roman"/>
          <w:b/>
          <w:i w:val="0"/>
          <w:sz w:val="24"/>
        </w:rPr>
        <w:t>I. Обжалуемое решение</w:t>
      </w:r>
    </w:p>
    <w:p>
      <w:pPr>
        <w:spacing w:after="120" w:line="276" w:lineRule="auto"/>
        <w:ind w:firstLine="709"/>
        <w:jc w:val="both"/>
      </w:pPr>
      <w:r>
        <w:rPr>
          <w:rFonts w:ascii="Times New Roman" w:hAnsi="Times New Roman"/>
          <w:b w:val="0"/>
          <w:i w:val="0"/>
          <w:sz w:val="24"/>
        </w:rPr>
        <w:t>Решением Арбитражного суда [наименование] от «[дата]» по делу № А[__]-[_____]/20[__] удовлетворены исковые требования [наименование истца] к [наименование заявителя жалобы] о взыскании убытков, причинённых введением ограничения режима потребления электроэнергии, [сумма] рублей. Ответчик с решением не согласен, считает его незаконным и необоснованным и обжалует [полностью / в части: указать].</w:t>
      </w:r>
    </w:p>
    <w:p>
      <w:pPr>
        <w:spacing w:after="120" w:line="276" w:lineRule="auto"/>
        <w:ind w:firstLine="709"/>
        <w:jc w:val="both"/>
      </w:pPr>
      <w:r>
        <w:rPr>
          <w:rFonts w:ascii="Times New Roman" w:hAnsi="Times New Roman"/>
          <w:b/>
          <w:i w:val="0"/>
          <w:sz w:val="24"/>
        </w:rPr>
        <w:t>Право и срок обжалования.</w:t>
      </w:r>
      <w:r>
        <w:rPr>
          <w:rFonts w:ascii="Times New Roman" w:hAnsi="Times New Roman"/>
          <w:b w:val="0"/>
          <w:i w:val="0"/>
          <w:sz w:val="24"/>
        </w:rPr>
        <w:t xml:space="preserve"> Частью 1 статьи 257 Арбитражного процессуального кодекса Российской Федерации (далее — АПК РФ) установлено: «Лица, участвующие в деле, а также иные лица в случаях, предусмотренных настоящим Кодексом, вправе обжаловать в порядке апелляционного производства решение арбитражного суда первой инстанции, не вступившее в законную силу.» Частью 1 статьи 259 АПК РФ: «Апелляционная жалоба может быть подана в течение месяца после принятия арбитражным судом первой инстанции обжалуемого решения, если иной срок не установлен настоящим Кодексом.» Срок истекает «[дата]». Жалоба подаётся через арбитражный суд, принявший решение (часть 2 статьи 257 АПК РФ: «Апелляционная жалоба подается через принявший решение в первой инстанции арбитражный суд, который обязан направить ее вместе с делом в соответствующий арбитражный суд апелляционной инстанции в трехдневный срок со дня поступления жалобы в суд или со дня составления мотивированного решения по делу, рассмотренному в порядке упрощенного производства.»).</w:t>
      </w:r>
    </w:p>
    <w:p>
      <w:pPr>
        <w:spacing w:after="120" w:line="276" w:lineRule="auto"/>
        <w:ind w:firstLine="709"/>
        <w:jc w:val="both"/>
      </w:pPr>
      <w:r>
        <w:rPr>
          <w:rFonts w:ascii="Times New Roman" w:hAnsi="Times New Roman"/>
          <w:b/>
          <w:i w:val="0"/>
          <w:sz w:val="24"/>
        </w:rPr>
        <w:t>Требования к судебному акту.</w:t>
      </w:r>
      <w:r>
        <w:rPr>
          <w:rFonts w:ascii="Times New Roman" w:hAnsi="Times New Roman"/>
          <w:b w:val="0"/>
          <w:i w:val="0"/>
          <w:sz w:val="24"/>
        </w:rPr>
        <w:t xml:space="preserve"> Частью 4 статьи 15 АПК РФ: «Принимаемые арбитражным судом судебные приказы, решения, постановления, определения должны быть законными, обоснованными и мотивированными.» Пунктом 2 части 4 статьи 170 АПК РФ в мотивировочной части решения указываются: «доказательства, на которых основаны выводы суда об обстоятельствах дела и доводы в пользу принятого решения; мотивы, по которым суд отверг те или иные доказательства, принял или отклонил приведенные в обоснование своих требований и возражений доводы лиц, участвующих в деле»</w:t>
      </w:r>
    </w:p>
    <w:p>
      <w:pPr>
        <w:spacing w:after="120" w:line="276" w:lineRule="auto"/>
        <w:jc w:val="center"/>
      </w:pPr>
      <w:r>
        <w:rPr>
          <w:rFonts w:ascii="Times New Roman" w:hAnsi="Times New Roman"/>
          <w:b/>
          <w:i w:val="0"/>
          <w:sz w:val="24"/>
        </w:rPr>
        <w:t>II. Основания для отмены решения</w:t>
      </w:r>
    </w:p>
    <w:p>
      <w:pPr>
        <w:spacing w:after="120" w:line="276" w:lineRule="auto"/>
        <w:ind w:firstLine="709"/>
        <w:jc w:val="both"/>
      </w:pPr>
      <w:r>
        <w:rPr>
          <w:rFonts w:ascii="Times New Roman" w:hAnsi="Times New Roman"/>
          <w:b w:val="0"/>
          <w:i w:val="0"/>
          <w:sz w:val="24"/>
        </w:rPr>
        <w:t>Частью 1 статьи 270 АПК РФ установлено: «1. Основаниями для изменения или отмены решения арбитражного суда первой инстанции являются: 1) неполное выяснение обстоятельств, имеющих значение для дела; 2) недоказанность имеющих значение для дела обстоятельств, которые суд считал установленными; 3) несоответствие выводов, изложенных в решении, обстоятельствам дела; 4) нарушение или неправильное применение норм материального права или норм процессуального права.» Такие основания по делу имеются.</w:t>
      </w:r>
    </w:p>
    <w:p>
      <w:pPr>
        <w:spacing w:after="120" w:line="276" w:lineRule="auto"/>
        <w:ind w:firstLine="709"/>
        <w:jc w:val="both"/>
      </w:pPr>
      <w:r>
        <w:rPr>
          <w:rFonts w:ascii="Times New Roman" w:hAnsi="Times New Roman"/>
          <w:b w:val="0"/>
          <w:i w:val="0"/>
          <w:sz w:val="24"/>
        </w:rPr>
        <w:t>Взыскивая убытки, суд не учёл, что ограничение введено по основанию, предусмотренному Правилами № 442, потребитель был надлежащим образом предупреждён, а реальный ущерб не доказан (пункты 1, 2 и 4 части 1 статьи 270 АПК РФ).</w:t>
      </w:r>
    </w:p>
    <w:p>
      <w:pPr>
        <w:spacing w:after="120" w:line="276" w:lineRule="auto"/>
        <w:ind w:firstLine="709"/>
        <w:jc w:val="both"/>
      </w:pPr>
      <w:r>
        <w:rPr>
          <w:rFonts w:ascii="Times New Roman" w:hAnsi="Times New Roman"/>
          <w:b/>
          <w:i w:val="0"/>
          <w:sz w:val="24"/>
        </w:rPr>
        <w:t>Ограничение введено по основанию, предусмотренному законом.</w:t>
      </w:r>
      <w:r>
        <w:rPr>
          <w:rFonts w:ascii="Times New Roman" w:hAnsi="Times New Roman"/>
          <w:b w:val="0"/>
          <w:i w:val="0"/>
          <w:sz w:val="24"/>
        </w:rPr>
        <w:t xml:space="preserve"> Подпунктом «б» пункта 2 Правил полного и (или) частичного ограничения режима потребления электрической энергии (утв. постановлением Правительства РФ от 04.05.2012 № 442) ограничение вводится при: «нарушение потребителем своих обязательств, выразившееся в следующих действиях:» «неисполнение или ненадлежащее исполнение обязательств по оплате электрической энергии (мощности) и (или) услуг по передаче электрической энергии, услуг, оказание которых является неотъемлемой частью процесса поставки электрической энергии потребителям, если это привело к образованию задолженности потребителя перед гарантирующим поставщиком, энергосбытовой, энергоснабжающей организацией или производителем электрической энергии (мощности) на розничном рынке по основному обязательству, возникшему из договора энергоснабжения (купли-продажи (поставки) электрической энергии (мощности)), в том числе обязательству по предварительной оплате электрической энергии (мощности)» У истца на дату уведомления имелась задолженность [сумма] рублей за [__] расчётных периода (акт сверки, расчёт).</w:t>
      </w:r>
    </w:p>
    <w:p>
      <w:pPr>
        <w:spacing w:after="120" w:line="276" w:lineRule="auto"/>
        <w:ind w:firstLine="709"/>
        <w:jc w:val="both"/>
      </w:pPr>
      <w:r>
        <w:rPr>
          <w:rFonts w:ascii="Times New Roman" w:hAnsi="Times New Roman"/>
          <w:b/>
          <w:i w:val="0"/>
          <w:sz w:val="24"/>
        </w:rPr>
        <w:t>Потребитель был надлежащим образом предупреждён.</w:t>
      </w:r>
      <w:r>
        <w:rPr>
          <w:rFonts w:ascii="Times New Roman" w:hAnsi="Times New Roman"/>
          <w:b w:val="0"/>
          <w:i w:val="0"/>
          <w:sz w:val="24"/>
        </w:rPr>
        <w:t xml:space="preserve"> Абзацем вторым пункта 2 статьи 546 ГК РФ установлено: «Прекращение или ограничение подачи энергии без согласования с абонентом - юридическим лицом, но с соответствующим его предупреждением допускается в установленном законом или иными правовыми актами порядке в случае нарушения указанным абонентом обязательств по оплате энергии.» Уведомление о введении ограничения направлено «[дата]» [по электронной почте, указанной в договоре / заказным письмом / путём включения текста в счёт], получено «[дата]»; задолженность в указанный срок не погашена.</w:t>
      </w:r>
    </w:p>
    <w:p>
      <w:pPr>
        <w:spacing w:after="120" w:line="276" w:lineRule="auto"/>
        <w:ind w:firstLine="709"/>
        <w:jc w:val="both"/>
      </w:pPr>
      <w:r>
        <w:rPr>
          <w:rFonts w:ascii="Times New Roman" w:hAnsi="Times New Roman"/>
          <w:b/>
          <w:i w:val="0"/>
          <w:sz w:val="24"/>
        </w:rPr>
        <w:t>Перерыв подачи энергии произведён правомерно, вины поставщика нет.</w:t>
      </w:r>
      <w:r>
        <w:rPr>
          <w:rFonts w:ascii="Times New Roman" w:hAnsi="Times New Roman"/>
          <w:b w:val="0"/>
          <w:i w:val="0"/>
          <w:sz w:val="24"/>
        </w:rPr>
        <w:t xml:space="preserve"> Пунктом 2 статьи 547 ГК РФ установлено: «Если в результате регулирования режима потребления энергии, осуществленного на основании закона или иных правовых актов, допущен перерыв в подаче энергии абоненту, энергоснабжающая организация несет ответственность за неисполнение или ненадлежащее исполнение договорных обязательств при наличии ее вины.» [Ограничение снято в течение [__] часов после погашения долга / после поступления информации об оплате.]</w:t>
      </w:r>
    </w:p>
    <w:p>
      <w:pPr>
        <w:spacing w:after="120" w:line="276" w:lineRule="auto"/>
        <w:ind w:firstLine="709"/>
        <w:jc w:val="both"/>
      </w:pPr>
      <w:r>
        <w:rPr>
          <w:rFonts w:ascii="Times New Roman" w:hAnsi="Times New Roman"/>
          <w:b/>
          <w:i w:val="0"/>
          <w:sz w:val="24"/>
        </w:rPr>
        <w:t>Возмещению подлежит только реальный ущерб, и он не доказан.</w:t>
      </w:r>
      <w:r>
        <w:rPr>
          <w:rFonts w:ascii="Times New Roman" w:hAnsi="Times New Roman"/>
          <w:b w:val="0"/>
          <w:i w:val="0"/>
          <w:sz w:val="24"/>
        </w:rPr>
        <w:t xml:space="preserve"> Пунктом 1 статьи 547 ГК РФ: «В случаях неисполнения или ненадлежащего исполнения обязательств по договору энергоснабжения сторона, нарушившая обязательство, обязана возместить причиненный этим реальный ущерб (пункт 2 статьи 15).» Истец заявил упущенную выгоду от простоя; реальный ущерб [не подтверждён документами / вызван отсутствием у истца резервного источника питания, обязательного для его категории].</w:t>
      </w:r>
    </w:p>
    <w:p>
      <w:pPr>
        <w:spacing w:after="120" w:line="276" w:lineRule="auto"/>
        <w:ind w:firstLine="709"/>
        <w:jc w:val="both"/>
      </w:pPr>
      <w:r>
        <w:rPr>
          <w:rFonts w:ascii="Times New Roman" w:hAnsi="Times New Roman"/>
          <w:b/>
          <w:i w:val="0"/>
          <w:sz w:val="24"/>
        </w:rPr>
        <w:t>Истец сам содействовал возникновению убытков.</w:t>
      </w:r>
      <w:r>
        <w:rPr>
          <w:rFonts w:ascii="Times New Roman" w:hAnsi="Times New Roman"/>
          <w:b w:val="0"/>
          <w:i w:val="0"/>
          <w:sz w:val="24"/>
        </w:rPr>
        <w:t xml:space="preserve"> Пунктом 1 статьи 404 ГК РФ: «Если неисполнение или ненадлежащее исполнение обязательства произошло по вине обеих сторон, суд соответственно уменьшает размер ответственности должника. Суд также вправе уменьшить размер ответственности должника, если кредитор умышленно или по неосторожности содействовал увеличению размера убытков, причиненных неисполнением или ненадлежащим исполнением, либо не принял разумных мер к их уменьшению.» Истец, получив уведомление, не погасил долг и не принял мер к безопасной остановке производства.</w:t>
      </w:r>
    </w:p>
    <w:p>
      <w:pPr>
        <w:spacing w:after="120" w:line="276" w:lineRule="auto"/>
        <w:jc w:val="center"/>
      </w:pPr>
      <w:r>
        <w:rPr>
          <w:rFonts w:ascii="Times New Roman" w:hAnsi="Times New Roman"/>
          <w:b/>
          <w:i w:val="0"/>
          <w:sz w:val="24"/>
        </w:rPr>
        <w:t>III. Нарушения норм процессуального права</w:t>
      </w:r>
    </w:p>
    <w:p>
      <w:pPr>
        <w:spacing w:after="120" w:line="276" w:lineRule="auto"/>
        <w:ind w:firstLine="709"/>
        <w:jc w:val="both"/>
      </w:pPr>
      <w:r>
        <w:rPr>
          <w:rFonts w:ascii="Times New Roman" w:hAnsi="Times New Roman"/>
          <w:b/>
          <w:i w:val="0"/>
          <w:sz w:val="24"/>
        </w:rPr>
        <w:t>Доводы ответчика не получили оценки.</w:t>
      </w:r>
      <w:r>
        <w:rPr>
          <w:rFonts w:ascii="Times New Roman" w:hAnsi="Times New Roman"/>
          <w:b w:val="0"/>
          <w:i w:val="0"/>
          <w:sz w:val="24"/>
        </w:rPr>
        <w:t xml:space="preserve"> В суде первой инстанции ответчик [заявлял возражения / представлял доказательства / ходатайствовал о [__]]: [указать]. Мотивы их отклонения в решении [не приведены / приведены формально], что противоречит пункту 2 части 4 статьи 170 АПК РФ. Частью 3 статьи 270 АПК РФ: «Нарушение или неправильное применение норм процессуального права является основанием для изменения или отмены решения арбитражного суда первой инстанции, если это нарушение привело или могло привести к принятию неправильного решения.»</w:t>
      </w:r>
    </w:p>
    <w:p>
      <w:pPr>
        <w:spacing w:after="120" w:line="276" w:lineRule="auto"/>
        <w:ind w:firstLine="709"/>
        <w:jc w:val="both"/>
      </w:pPr>
      <w:r>
        <w:rPr>
          <w:rFonts w:ascii="Times New Roman" w:hAnsi="Times New Roman"/>
          <w:b w:val="0"/>
          <w:i w:val="0"/>
          <w:sz w:val="24"/>
        </w:rPr>
        <w:t>[Если ответчик не был извещён о заседании:] Пунктом 2 части 4 статьи 270 АПК РФ основанием для отмены решения в любом случае является «рассмотрение дела в отсутствие кого-либо из участвующих в деле лиц, не извещенных надлежащим образом о времени и месте судебного заседания» [Определение направлено по неверному адресу / не размещено в картотеке арбитражных дел в установленный срок: указать.]</w:t>
      </w:r>
    </w:p>
    <w:p>
      <w:pPr>
        <w:spacing w:after="120" w:line="276" w:lineRule="auto"/>
        <w:ind w:firstLine="709"/>
        <w:jc w:val="both"/>
      </w:pPr>
      <w:r>
        <w:rPr>
          <w:rFonts w:ascii="Times New Roman" w:hAnsi="Times New Roman"/>
          <w:b/>
          <w:i w:val="0"/>
          <w:sz w:val="24"/>
        </w:rPr>
        <w:t>Дополнительные доказательства [если есть].</w:t>
      </w:r>
      <w:r>
        <w:rPr>
          <w:rFonts w:ascii="Times New Roman" w:hAnsi="Times New Roman"/>
          <w:b w:val="0"/>
          <w:i w:val="0"/>
          <w:sz w:val="24"/>
        </w:rPr>
        <w:t xml:space="preserve"> Частью 2 статьи 268 АПК РФ: «Дополнительные доказательства принимаются арбитражным судом апелляционной инстанции, если лицо, участвующее в деле, обосновало невозможность их представления в суд первой инстанции по причинам, не зависящим от него, в том числе в случае, если судом первой инстанции было отклонено ходатайство об истребовании доказательств, и суд признает эти причины уважительными.» Ответчик не мог представить [документ] в суд первой инстанции, поскольку [__], и просит его принять.</w:t>
      </w:r>
    </w:p>
    <w:p>
      <w:pPr>
        <w:spacing w:after="120" w:line="276" w:lineRule="auto"/>
        <w:ind w:firstLine="709"/>
        <w:jc w:val="both"/>
      </w:pPr>
      <w:r>
        <w:rPr>
          <w:rFonts w:ascii="Times New Roman" w:hAnsi="Times New Roman"/>
          <w:b/>
          <w:i w:val="0"/>
          <w:sz w:val="24"/>
        </w:rPr>
        <w:t>Полномочия суда апелляционной инстанции и государственная пошлина.</w:t>
      </w:r>
      <w:r>
        <w:rPr>
          <w:rFonts w:ascii="Times New Roman" w:hAnsi="Times New Roman"/>
          <w:b w:val="0"/>
          <w:i w:val="0"/>
          <w:sz w:val="24"/>
        </w:rPr>
        <w:t xml:space="preserve"> Пунктом 2 статьи 269 АПК РФ суд апелляционной инстанции вправе «отменить или изменить решение суда первой инстанции полностью или в части и принять по делу новый судебный акт» Государственная пошлина уплачена по подпункту 19 пункта 1 статьи 333.21 Налогового кодекса Российской Федерации: «19) при подаче апелляционной жалобы, а также при подаче кассационной жалобы на судебный приказ: для физических лиц - 10 000 рублей; для организаций - 30 000 рублей».</w:t>
      </w:r>
    </w:p>
    <w:p>
      <w:pPr>
        <w:spacing w:after="120" w:line="276" w:lineRule="auto"/>
        <w:ind w:firstLine="709"/>
        <w:jc w:val="both"/>
      </w:pPr>
      <w:r>
        <w:rPr>
          <w:rFonts w:ascii="Times New Roman" w:hAnsi="Times New Roman"/>
          <w:b w:val="0"/>
          <w:i w:val="0"/>
          <w:sz w:val="24"/>
        </w:rPr>
        <w:t>На основании изложенного, руководствуясь статьями 15, 404, 546 ГК РФ, Правилами полного и (или) частичного ограничения режима потребления электрической энергии, статьями 257, 259, 260, 268, 269, 270 АПК РФ,</w:t>
      </w:r>
    </w:p>
    <w:p>
      <w:pPr>
        <w:spacing w:after="120" w:line="276" w:lineRule="auto"/>
        <w:jc w:val="center"/>
      </w:pPr>
      <w:r>
        <w:rPr>
          <w:rFonts w:ascii="Times New Roman" w:hAnsi="Times New Roman"/>
          <w:b/>
          <w:i w:val="0"/>
          <w:sz w:val="24"/>
        </w:rPr>
        <w:t>ПРОШУ:</w:t>
      </w:r>
    </w:p>
    <w:p>
      <w:pPr>
        <w:spacing w:after="120" w:line="276" w:lineRule="auto"/>
        <w:ind w:firstLine="709"/>
        <w:jc w:val="both"/>
      </w:pPr>
      <w:r>
        <w:rPr>
          <w:rFonts w:ascii="Times New Roman" w:hAnsi="Times New Roman"/>
          <w:b w:val="0"/>
          <w:i w:val="0"/>
          <w:sz w:val="24"/>
        </w:rPr>
        <w:t>1. Отменить решение Арбитражного суда [наименование] от «[дата]» по делу № А[__]-[_____]/20[__] [полностью / в части: указать] и принять по делу новый судебный акт об отказе в удовлетворении исковых требований [наименование истца] [в полном объёме / в части: указать].</w:t>
      </w:r>
    </w:p>
    <w:p>
      <w:pPr>
        <w:spacing w:after="120" w:line="276" w:lineRule="auto"/>
        <w:ind w:firstLine="709"/>
        <w:jc w:val="both"/>
      </w:pPr>
      <w:r>
        <w:rPr>
          <w:rFonts w:ascii="Times New Roman" w:hAnsi="Times New Roman"/>
          <w:b w:val="0"/>
          <w:i w:val="0"/>
          <w:sz w:val="24"/>
        </w:rPr>
        <w:t>2. [Приобщить к материалам дела дополнительные доказательства: перечислить.]</w:t>
      </w:r>
    </w:p>
    <w:p>
      <w:pPr>
        <w:spacing w:after="120" w:line="276" w:lineRule="auto"/>
        <w:ind w:firstLine="709"/>
        <w:jc w:val="both"/>
      </w:pPr>
      <w:r>
        <w:rPr>
          <w:rFonts w:ascii="Times New Roman" w:hAnsi="Times New Roman"/>
          <w:b w:val="0"/>
          <w:i w:val="0"/>
          <w:sz w:val="24"/>
        </w:rPr>
        <w:t>3. Взыскать с истца в пользу ответчика расходы по уплате государственной пошлины за подачу апелляционной жалобы.</w:t>
      </w:r>
    </w:p>
    <w:p>
      <w:pPr>
        <w:spacing w:after="120" w:line="276" w:lineRule="auto"/>
        <w:jc w:val="left"/>
      </w:pPr>
      <w:r>
        <w:rPr>
          <w:rFonts w:ascii="Times New Roman" w:hAnsi="Times New Roman"/>
          <w:b/>
          <w:i w:val="0"/>
          <w:sz w:val="24"/>
        </w:rPr>
        <w:t>Приложение:</w:t>
      </w:r>
    </w:p>
    <w:p>
      <w:pPr>
        <w:spacing w:after="40" w:line="276" w:lineRule="auto"/>
        <w:jc w:val="left"/>
      </w:pPr>
      <w:r>
        <w:rPr>
          <w:rFonts w:ascii="Times New Roman" w:hAnsi="Times New Roman"/>
          <w:b w:val="0"/>
          <w:i w:val="0"/>
          <w:sz w:val="24"/>
        </w:rPr>
        <w:t>1. Копия обжалуемого решения.</w:t>
      </w:r>
    </w:p>
    <w:p>
      <w:pPr>
        <w:spacing w:after="40" w:line="276" w:lineRule="auto"/>
        <w:jc w:val="left"/>
      </w:pPr>
      <w:r>
        <w:rPr>
          <w:rFonts w:ascii="Times New Roman" w:hAnsi="Times New Roman"/>
          <w:b w:val="0"/>
          <w:i w:val="0"/>
          <w:sz w:val="24"/>
        </w:rPr>
        <w:t>2. Документ об уплате государственной пошлины.</w:t>
      </w:r>
    </w:p>
    <w:p>
      <w:pPr>
        <w:spacing w:after="40" w:line="276" w:lineRule="auto"/>
        <w:jc w:val="left"/>
      </w:pPr>
      <w:r>
        <w:rPr>
          <w:rFonts w:ascii="Times New Roman" w:hAnsi="Times New Roman"/>
          <w:b w:val="0"/>
          <w:i w:val="0"/>
          <w:sz w:val="24"/>
        </w:rPr>
        <w:t>3. Документ, подтверждающий направление (вручение) другим лицам, участвующим в деле, копий апелляционной жалобы и документов, которые у них отсутствуют.</w:t>
      </w:r>
    </w:p>
    <w:p>
      <w:pPr>
        <w:spacing w:after="40" w:line="276" w:lineRule="auto"/>
        <w:jc w:val="left"/>
      </w:pPr>
      <w:r>
        <w:rPr>
          <w:rFonts w:ascii="Times New Roman" w:hAnsi="Times New Roman"/>
          <w:b w:val="0"/>
          <w:i w:val="0"/>
          <w:sz w:val="24"/>
        </w:rPr>
        <w:t>4. Доверенность или иной документ о полномочиях на подписание жалобы и копия документа о высшем юридическом образовании (учёной степени) представителя [если жалобу подписывает представитель].</w:t>
      </w:r>
    </w:p>
    <w:p>
      <w:pPr>
        <w:spacing w:after="0" w:line="276" w:lineRule="auto" w:before="360"/>
        <w:jc w:val="left"/>
      </w:pPr>
      <w:r>
        <w:rPr>
          <w:rFonts w:ascii="Times New Roman" w:hAnsi="Times New Roman"/>
          <w:b w:val="0"/>
          <w:i w:val="0"/>
          <w:sz w:val="24"/>
        </w:rPr>
        <w:t>«___» __________ 20__ г.</w:t>
        <w:tab/>
        <w:tab/>
        <w:tab/>
        <w:tab/>
        <w:t>__________________ / [должность, Ф. И. О. руководителя или представителя]</w:t>
      </w:r>
    </w:p>
    <w:p>
      <w:pPr>
        <w:spacing w:after="40" w:line="276" w:lineRule="auto" w:before="360"/>
        <w:jc w:val="left"/>
      </w:pPr>
      <w:r>
        <w:rPr>
          <w:rFonts w:ascii="Times New Roman" w:hAnsi="Times New Roman"/>
          <w:b/>
          <w:i/>
          <w:sz w:val="24"/>
        </w:rPr>
        <w:t>Пояснения к шаблону (удалите перед подачей):</w:t>
      </w:r>
    </w:p>
    <w:p>
      <w:pPr>
        <w:spacing w:after="40" w:line="276" w:lineRule="auto"/>
        <w:jc w:val="both"/>
      </w:pPr>
      <w:r>
        <w:rPr>
          <w:rFonts w:ascii="Times New Roman" w:hAnsi="Times New Roman"/>
          <w:b w:val="0"/>
          <w:i/>
          <w:sz w:val="24"/>
        </w:rPr>
        <w:t>— Срок — месяц после принятия решения (ч. 1 ст. 259 АПК РФ), по делам упрощённого производства — пятнадцать дней (ч. 4 ст. 229 АПК РФ); жалоба подаётся через арбитражный суд первой инстанции, в том числе через «Мой арбитр». Пропущенный срок восстанавливает апелляционный суд, если ходатайство подано не позднее шести месяцев со дня принятия решения (ч. 2 ст. 259 АПК РФ).</w:t>
      </w:r>
    </w:p>
    <w:p>
      <w:pPr>
        <w:spacing w:after="40" w:line="276" w:lineRule="auto"/>
        <w:jc w:val="both"/>
      </w:pPr>
      <w:r>
        <w:rPr>
          <w:rFonts w:ascii="Times New Roman" w:hAnsi="Times New Roman"/>
          <w:b w:val="0"/>
          <w:i/>
          <w:sz w:val="24"/>
        </w:rPr>
        <w:t>— Новые требования в апелляции не рассматриваются (ч. 7 ст. 268 АПК РФ); дополнительные доказательства примут, только если вы обоснуете невозможность их представления в первой инстанции по уважительным причинам. Заявление о пропуске давности, впервые сделанное в апелляции, не рассматривается.</w:t>
      </w:r>
    </w:p>
    <w:p>
      <w:pPr>
        <w:spacing w:after="40" w:line="276" w:lineRule="auto"/>
        <w:jc w:val="both"/>
      </w:pPr>
      <w:r>
        <w:rPr>
          <w:rFonts w:ascii="Times New Roman" w:hAnsi="Times New Roman"/>
          <w:b w:val="0"/>
          <w:i/>
          <w:sz w:val="24"/>
        </w:rPr>
        <w:t>— Цитаты закона приведены дословно в действующей редакции (сверено с КонсультантПлюс 14.10.2026). Перед подачей проверьте, не изменились ли нормы.</w:t>
      </w:r>
    </w:p>
    <w:p>
      <w:pPr>
        <w:spacing w:after="40" w:line="276" w:lineRule="auto"/>
        <w:jc w:val="both"/>
      </w:pPr>
      <w:r>
        <w:rPr>
          <w:rFonts w:ascii="Times New Roman" w:hAnsi="Times New Roman"/>
          <w:b w:val="0"/>
          <w:i/>
          <w:sz w:val="24"/>
        </w:rPr>
        <w:t>— Квадратные скобки — места для ваших данных; пояснения в скобках и неподходящие варианты удалите перед подачей.</w:t>
      </w:r>
    </w:p>
    <w:sectPr w:rsidR="00FC693F" w:rsidRPr="0006063C" w:rsidSect="00034616">
      <w:pgSz w:w="12240" w:h="15840"/>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