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энергоснабжающая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убытков, причинённых перерывом в подаче энергии (подачей энергии ненадлежащего качества)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убытков, причинённых перерывом в подаче энергии,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убытки, суд не учёл, что перерыв был допустимым, возмещается только реальный ущерб, а повреждение оборудования вызвано состоянием сетей и оборудования самого истца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Перерыв был допустимым.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546 ГК РФ установлено: «Перерыв в подаче,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этом.» Перерыв вызван [аварией на подстанции в результате урагана — справка МЧС / действиями третьих лиц — повреждение кабеля при земляных работах, возбуждено дело] и устранён в нормативный срок, установленный для категории надёжности электроснабжения абонента ([третья категория: допустимы перерывы на время ремонта не более 24 часов]).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Возмещается только реальный ущерб, упущенная выгода не взыскивается.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547 ГК РФ установлено: «В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 (пункт 2 статьи 15).» Истец требует [неполученную прибыль, стоимость простоя персонала как упущенную выгоду], что законом исключено.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при регулировании режима потребления — только при вине.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547 ГК РФ установлено: «Если в результате регулирования режима потребления энергии, осуществленного на основании закона или иных правовых актов, допущен перерыв в подаче энергии абоненту, энергоснабжающая организация несет ответственность за неисполнение или ненадлежащее исполнение договорных обязательств при наличии ее вины.» Вина энергоснабжающей организации не доказана; [ограничение произведено по команде системного оператора / в связи с аварийным режимом энергосистемы].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Повреждение оборудования вызвано состоянием сетей абонента.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543 ГК РФ установлено: «Абонент обязан обеспечивать надлежащее техническое состояние и безопасность эксплуатируемых энергетических сетей, приборов и оборудования, соблюдать установленный режим потребления энергии, а также немедленно сообщать энергоснабжающей организации об авариях, о пожарах, неисправностях приборов учета энергии и об иных нарушениях, возникающих при пользовании энергией.» У абонента [отсутствовали устройства защиты от перенапряжения, предусмотренные правилами устройства электроустановок / проводка находилась в неудовлетворительном состоянии]; ущерб возник в зоне ответственности абонента.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подтверждён.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Стоимость ремонта оборудования не подтверждена [дефектной ведомостью, заключением о причинах неисправности]; испорченная продукция [не документирована актом с участием представителя ответчика].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546, 547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