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ущерба, причинённого в ДТП, сверх страхового возмещения по ОСАГО</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 ответчика ущерба, причинённого в ДТП, сверх страхового возмещения в размере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разницу, суд не учёл, что причинитель отвечает лишь в части, не покрытой надлежащим страховым возмещением, истец отказался от ремонта по ОСАГО, а размер ущерба определён без проверки более разумного способа восстановления; вина в ДТП обоюдная (пункты 1, 2 и 4 части 1 статьи 330 ГПК РФ).</w:t>
      </w:r>
    </w:p>
    <w:p>
      <w:pPr>
        <w:spacing w:after="120" w:line="276" w:lineRule="auto"/>
        <w:ind w:firstLine="709"/>
        <w:jc w:val="both"/>
      </w:pPr>
      <w:r>
        <w:rPr>
          <w:rFonts w:ascii="Times New Roman" w:hAnsi="Times New Roman"/>
          <w:b/>
          <w:i w:val="0"/>
          <w:sz w:val="24"/>
        </w:rPr>
        <w:t>Причинитель отвечает лишь в части, не покрытой страховым возмещением, определённым по закону.</w:t>
      </w:r>
      <w:r>
        <w:rPr>
          <w:rFonts w:ascii="Times New Roman" w:hAnsi="Times New Roman"/>
          <w:b w:val="0"/>
          <w:i w:val="0"/>
          <w:sz w:val="24"/>
        </w:rPr>
        <w:t xml:space="preserve"> Статьёй 1072 Гражданского кодекса Российской Федерации (далее — ГК РФ) установлено: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Разница определяется между фактическим ущербом и тем страховым возмещением, которое страховщик должен был выплатить по Единой методике с учётом износа, а не фактически выплаченной суммой. [Истец заключил со страховщиком соглашение о выплате [сумма] рублей вместо ремонта на СТОА, добровольно уменьшив возмещение; разница между надлежащим страховым возмещением и выплатой не может быть взыскана с ответчика.]</w:t>
      </w:r>
    </w:p>
    <w:p>
      <w:pPr>
        <w:spacing w:after="120" w:line="276" w:lineRule="auto"/>
        <w:ind w:firstLine="709"/>
        <w:jc w:val="both"/>
      </w:pPr>
      <w:r>
        <w:rPr>
          <w:rFonts w:ascii="Times New Roman" w:hAnsi="Times New Roman"/>
          <w:b/>
          <w:i w:val="0"/>
          <w:sz w:val="24"/>
        </w:rPr>
        <w:t>[Если истец не воспользовался ремонтом по ОСАГО:] Истец лишил себя права на полное возмещение за счёт страховщика.</w:t>
      </w:r>
      <w:r>
        <w:rPr>
          <w:rFonts w:ascii="Times New Roman" w:hAnsi="Times New Roman"/>
          <w:b w:val="0"/>
          <w:i w:val="0"/>
          <w:sz w:val="24"/>
        </w:rPr>
        <w:t xml:space="preserve"> При натуральной форме возмещения (ремонт на СТОА) износ не учитывается; отказ истца от ремонта и согласие на выплату с износом не может перекладывать разницу на ответчика.</w:t>
      </w:r>
    </w:p>
    <w:p>
      <w:pPr>
        <w:spacing w:after="120" w:line="276" w:lineRule="auto"/>
        <w:ind w:firstLine="709"/>
        <w:jc w:val="both"/>
      </w:pPr>
      <w:r>
        <w:rPr>
          <w:rFonts w:ascii="Times New Roman" w:hAnsi="Times New Roman"/>
          <w:b/>
          <w:i w:val="0"/>
          <w:sz w:val="24"/>
        </w:rPr>
        <w:t>Вина в ДТП обоюдная [или отсутствует].</w:t>
      </w:r>
      <w:r>
        <w:rPr>
          <w:rFonts w:ascii="Times New Roman" w:hAnsi="Times New Roman"/>
          <w:b w:val="0"/>
          <w:i w:val="0"/>
          <w:sz w:val="24"/>
        </w:rPr>
        <w:t xml:space="preserve"> Пунктом 3 статьи 1079 ГК РФ: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настоящей статьи.» «Вред, причиненный в результате взаимодействия источников повышенной опасности их владельцам, возмещается на общих основаниях (статья 1064).» [Истец нарушил пункт [__] ПДД (превысил скорость, не уступил дорогу), что подтверждается [видеозаписью, схемой]. Степень вины ответчика — не более [__] %.]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автотехнической экспертизы для определения механизма ДТП и соответствия действий водителей ПДД.</w:t>
      </w:r>
    </w:p>
    <w:p>
      <w:pPr>
        <w:spacing w:after="120" w:line="276" w:lineRule="auto"/>
        <w:ind w:firstLine="709"/>
        <w:jc w:val="both"/>
      </w:pPr>
      <w:r>
        <w:rPr>
          <w:rFonts w:ascii="Times New Roman" w:hAnsi="Times New Roman"/>
          <w:b/>
          <w:i w:val="0"/>
          <w:sz w:val="24"/>
        </w:rPr>
        <w:t>Фактический размер ущерба завышен.</w:t>
      </w:r>
      <w:r>
        <w:rPr>
          <w:rFonts w:ascii="Times New Roman" w:hAnsi="Times New Roman"/>
          <w:b w:val="0"/>
          <w:i w:val="0"/>
          <w:sz w:val="24"/>
        </w:rPr>
        <w:t xml:space="preserve"> [Существует более разумный и распространённый способ исправления повреждений — ремонт с использованием сертифицированных неоригинальных или контрактных запчастей; автомобилю [__] лет, гарантия изготовителя истекла.] Заключение, представленное истцом, [выполнено без извещения ответчика об осмотре / включает повреждения, не связанные с событием / рассчитано по завышенным ценам].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Ответчик ходатайствует перед судом апелляционной инстанции о назначении судебной экспертизы о механизме образования повреждений, их относимости к событию и стоимости восстановления.</w:t>
      </w:r>
    </w:p>
    <w:p>
      <w:pPr>
        <w:spacing w:after="120" w:line="276" w:lineRule="auto"/>
        <w:ind w:firstLine="709"/>
        <w:jc w:val="both"/>
      </w:pPr>
      <w:r>
        <w:rPr>
          <w:rFonts w:ascii="Times New Roman" w:hAnsi="Times New Roman"/>
          <w:b/>
          <w:i w:val="0"/>
          <w:sz w:val="24"/>
        </w:rPr>
        <w:t>[Если ответчик не являлся владельцем:]</w:t>
      </w:r>
      <w:r>
        <w:rPr>
          <w:rFonts w:ascii="Times New Roman" w:hAnsi="Times New Roman"/>
          <w:b w:val="0"/>
          <w:i w:val="0"/>
          <w:sz w:val="24"/>
        </w:rPr>
        <w:t xml:space="preserve"> Пунктом 1 статьи 1079 ГК РФ обязанность возмещения возлагается на владельца источника повышенной опасности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ответчик управлял автомобилем [по трудовому договору / без законных оснований], владельцем является [Ф. И. О. / организация] (статья 1068 ГК РФ).</w:t>
      </w:r>
    </w:p>
    <w:p>
      <w:pPr>
        <w:spacing w:after="120" w:line="276" w:lineRule="auto"/>
        <w:ind w:firstLine="709"/>
        <w:jc w:val="both"/>
      </w:pPr>
      <w:r>
        <w:rPr>
          <w:rFonts w:ascii="Times New Roman" w:hAnsi="Times New Roman"/>
          <w:b/>
          <w:i w:val="0"/>
          <w:sz w:val="24"/>
        </w:rPr>
        <w:t>Имущественное положение ответчика.</w:t>
      </w:r>
      <w:r>
        <w:rPr>
          <w:rFonts w:ascii="Times New Roman" w:hAnsi="Times New Roman"/>
          <w:b w:val="0"/>
          <w:i w:val="0"/>
          <w:sz w:val="24"/>
        </w:rPr>
        <w:t xml:space="preserve"> Пунктом 3 статьи 1083 ГК РФ установлено: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Ответчик [пенсионер / имеет доход [сумма] рублей, на иждивении — [дети], кредитные обязательства]; вред причинён неумышленно. Суд не обсудил уменьшение размера возмещения с учётом имущественного положения ответчика.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1064, 1072, 1079, 1083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