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банк (заявитель апелляционной жалобы): </w:t>
      </w:r>
      <w:r>
        <w:rPr>
          <w:rFonts w:ascii="Times New Roman" w:hAnsi="Times New Roman"/>
          <w:b w:val="0"/>
          <w:i w:val="0"/>
          <w:sz w:val="24"/>
        </w:rPr>
        <w:t>[наименование банка]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суммы вклада, процентов по вкладу, процентов по статье 395 ГК РФ,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суммы вклада [сумма] рублей, процентов по вкладу, процентов по статье 395 ГК РФ,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вклад, суд не учёл, что вклад выдан [либо выдача приостановлена по закону], проценты при досрочном востребовании начислены по условиям договора, а договор заключён на иных условиях, чем утверждает истец (пункты 1 и 4 части 1 статьи 330 ГПК РФ).</w:t>
      </w:r>
    </w:p>
    <w:p>
      <w:pPr>
        <w:spacing w:after="120" w:line="276" w:lineRule="auto"/>
        <w:ind w:firstLine="709"/>
        <w:jc w:val="both"/>
      </w:pPr>
      <w:r>
        <w:rPr>
          <w:rFonts w:ascii="Times New Roman" w:hAnsi="Times New Roman"/>
          <w:b/>
          <w:i w:val="0"/>
          <w:sz w:val="24"/>
        </w:rPr>
        <w:t>Вклад выдан [либо выдача приостановлена по закону].</w:t>
      </w:r>
      <w:r>
        <w:rPr>
          <w:rFonts w:ascii="Times New Roman" w:hAnsi="Times New Roman"/>
          <w:b w:val="0"/>
          <w:i w:val="0"/>
          <w:sz w:val="24"/>
        </w:rPr>
        <w:t xml:space="preserve"> Пунктом 1 статьи 834 Гражданского кодекса Российской Федерации (далее — ГК РФ) установлено: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 Пунктом 2 статьи 837 ГК РФ: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 [Вклад с процентами выплачен «[дата]» — расходный кассовый ордер / выдача приостановлена в соответствии с [постановлением следователя об аресте № __ / требованиями Федерального закона № 115-ФЗ: клиент не представил документы о происхождении средств — запрос от «[дата]»], что исключает неправомерное удержание. Пунктом 1 статьи 858 ГК РФ установлено: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pPr>
        <w:spacing w:after="120" w:line="276" w:lineRule="auto"/>
        <w:ind w:firstLine="709"/>
        <w:jc w:val="both"/>
      </w:pPr>
      <w:r>
        <w:rPr>
          <w:rFonts w:ascii="Times New Roman" w:hAnsi="Times New Roman"/>
          <w:b/>
          <w:i w:val="0"/>
          <w:sz w:val="24"/>
        </w:rPr>
        <w:t>Проценты по вкладу начислены по условиям договора.</w:t>
      </w:r>
      <w:r>
        <w:rPr>
          <w:rFonts w:ascii="Times New Roman" w:hAnsi="Times New Roman"/>
          <w:b w:val="0"/>
          <w:i w:val="0"/>
          <w:sz w:val="24"/>
        </w:rPr>
        <w:t xml:space="preserve"> [При досрочном востребовании срочного вклада проценты выплачиваются по ставке вклада «до востребования», если договором не предусмотрен иной размер (пункт 5 статьи 837 ГК РФ: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 Истец востребовал вклад досрочно «[дата]» — проценты пересчитаны по ставке [__] %.]</w:t>
      </w:r>
    </w:p>
    <w:p>
      <w:pPr>
        <w:spacing w:after="120" w:line="276" w:lineRule="auto"/>
        <w:ind w:firstLine="709"/>
        <w:jc w:val="both"/>
      </w:pPr>
      <w:r>
        <w:rPr>
          <w:rFonts w:ascii="Times New Roman" w:hAnsi="Times New Roman"/>
          <w:b/>
          <w:i w:val="0"/>
          <w:sz w:val="24"/>
        </w:rPr>
        <w:t>Договор вклада заключён на иных условиях, чем утверждает истец.</w:t>
      </w:r>
      <w:r>
        <w:rPr>
          <w:rFonts w:ascii="Times New Roman" w:hAnsi="Times New Roman"/>
          <w:b w:val="0"/>
          <w:i w:val="0"/>
          <w:sz w:val="24"/>
        </w:rPr>
        <w:t xml:space="preserve"> [Истец ссылается на «вклад» под [__] %, однако фактически приобрёл [инвестиционный продукт / облигации / полис инвестиционного страхования жизни], о чём подписал отдельные документы; такие средства не являются вкладом и не застрахованы АСВ.] [Договор с «сотрудником банка» заключён вне офиса, денежные средства в кассу банка не поступали — приходный кассовый ордер банком не выдавался, документ, представленный истцом, имеет признаки подделки.]</w:t>
      </w:r>
    </w:p>
    <w:p>
      <w:pPr>
        <w:spacing w:after="120" w:line="276" w:lineRule="auto"/>
        <w:ind w:firstLine="709"/>
        <w:jc w:val="both"/>
      </w:pPr>
      <w:r>
        <w:rPr>
          <w:rFonts w:ascii="Times New Roman" w:hAnsi="Times New Roman"/>
          <w:b/>
          <w:i w:val="0"/>
          <w:sz w:val="24"/>
        </w:rPr>
        <w:t>Проценты по статье 395 ГК РФ.</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за неправомерную задержку выдачи вклада предусмотрены проценты в размере, определённом статьёй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они не начисляются за период законного приостановления выдачи. Одновременное взыскание процентов по вкладу и процентов по статье 395 за один период недопустимо.</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834, 837, 838, 856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