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поклажедатель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хранитель: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вознаграждения за хранение, чрезвычайных расходов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вознаграждения за хранение [сумма] рублей, чрезвычайных расходов и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вознаграждение, суд не учёл, что хранение прекращено и вещь возвращена [или поклажедатель её не принимал по вине хранителя], расходы входят в вознаграждение, а чрезвычайные расходы не согласованы (пункты 1 и 4 части 1 статьи 270 АПК РФ).</w:t>
      </w:r>
    </w:p>
    <w:p>
      <w:pPr>
        <w:spacing w:after="120" w:line="276" w:lineRule="auto"/>
        <w:ind w:firstLine="709"/>
        <w:jc w:val="both"/>
      </w:pPr>
      <w:r>
        <w:rPr>
          <w:rFonts w:ascii="Times New Roman" w:hAnsi="Times New Roman"/>
          <w:b/>
          <w:i w:val="0"/>
          <w:sz w:val="24"/>
        </w:rPr>
        <w:t>Хранение прекращено, вещь возвращена [или поклажедатель её истребовал, а хранитель не выдавал].</w:t>
      </w:r>
      <w:r>
        <w:rPr>
          <w:rFonts w:ascii="Times New Roman" w:hAnsi="Times New Roman"/>
          <w:b w:val="0"/>
          <w:i w:val="0"/>
          <w:sz w:val="24"/>
        </w:rPr>
        <w:t xml:space="preserve"> Пунктом 1 статьи 896 ГК РФ установлено: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 Поклажедатель «[дата]» потребовал выдать вещь и прибыл за ней, однако хранитель [удерживал её до оплаты спорных расходов / не обеспечил отгрузку]. Вознаграждение за период после требования о возврате не причитается: просрочка допущена хранителем (пункт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Расходы входят в вознаграждение.</w:t>
      </w:r>
      <w:r>
        <w:rPr>
          <w:rFonts w:ascii="Times New Roman" w:hAnsi="Times New Roman"/>
          <w:b w:val="0"/>
          <w:i w:val="0"/>
          <w:sz w:val="24"/>
        </w:rPr>
        <w:t xml:space="preserve"> Пунктом 1 статьи 897 ГК РФ установлено: «Если иное не предусмотрено договором хранения, расходы хранителя на хранение вещи включаются в вознаграждение за хранение.» Расходы [на электроэнергию, охрану, погрузку на складе] являются обычными расходами хранителя и отдельно не оплачиваются.</w:t>
      </w:r>
    </w:p>
    <w:p>
      <w:pPr>
        <w:spacing w:after="120" w:line="276" w:lineRule="auto"/>
        <w:ind w:firstLine="709"/>
        <w:jc w:val="both"/>
      </w:pPr>
      <w:r>
        <w:rPr>
          <w:rFonts w:ascii="Times New Roman" w:hAnsi="Times New Roman"/>
          <w:b/>
          <w:i w:val="0"/>
          <w:sz w:val="24"/>
        </w:rPr>
        <w:t>Чрезвычайные расходы не согласованы.</w:t>
      </w:r>
      <w:r>
        <w:rPr>
          <w:rFonts w:ascii="Times New Roman" w:hAnsi="Times New Roman"/>
          <w:b w:val="0"/>
          <w:i w:val="0"/>
          <w:sz w:val="24"/>
        </w:rPr>
        <w:t xml:space="preserve"> Пунктом 2 статьи 898 ГК РФ установлено: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 «В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 Запрос о согласии хранитель не направлял, хотя имел такую возможность; необходимость расходов [перетаривания, дополнительного охлаждения] не доказана.</w:t>
      </w:r>
    </w:p>
    <w:p>
      <w:pPr>
        <w:spacing w:after="120" w:line="276" w:lineRule="auto"/>
        <w:ind w:firstLine="709"/>
        <w:jc w:val="both"/>
      </w:pPr>
      <w:r>
        <w:rPr>
          <w:rFonts w:ascii="Times New Roman" w:hAnsi="Times New Roman"/>
          <w:b/>
          <w:i w:val="0"/>
          <w:sz w:val="24"/>
        </w:rPr>
        <w:t>Хранение досрочно прекращено по вине хранителя.</w:t>
      </w:r>
      <w:r>
        <w:rPr>
          <w:rFonts w:ascii="Times New Roman" w:hAnsi="Times New Roman"/>
          <w:b w:val="0"/>
          <w:i w:val="0"/>
          <w:sz w:val="24"/>
        </w:rPr>
        <w:t xml:space="preserve"> Абзацем вторым пункта 3 статьи 896 ГК РФ установлено: «Если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 [Хранитель допустил порчу части товара / ограничил доступ к складу], что вынудило поклажедателя вывезти товар досрочно.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896, 897, 898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