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поставщик (подрядчик, исполнитель)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пени и штрафа по государственному (муниципальному) контракту</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пени [сумма] рублей и штрафа [сумма] рублей по государственному (муниципальному) контракту.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пени и штраф, суд не учёл поведение заказчика, приведшее к неисполнению, неверный расчёт пени, недопустимость штрафа за просрочку и наличие оснований для списания неустойки (пункты 1 и 4 части 1 статьи 270 АПК РФ).</w:t>
      </w:r>
    </w:p>
    <w:p>
      <w:pPr>
        <w:spacing w:after="120" w:line="276" w:lineRule="auto"/>
        <w:ind w:firstLine="709"/>
        <w:jc w:val="both"/>
      </w:pPr>
      <w:r>
        <w:rPr>
          <w:rFonts w:ascii="Times New Roman" w:hAnsi="Times New Roman"/>
          <w:b/>
          <w:i w:val="0"/>
          <w:sz w:val="24"/>
        </w:rPr>
        <w:t>Неисполнение вызвано поведением другой стороны.</w:t>
      </w:r>
      <w:r>
        <w:rPr>
          <w:rFonts w:ascii="Times New Roman" w:hAnsi="Times New Roman"/>
          <w:b w:val="0"/>
          <w:i w:val="0"/>
          <w:sz w:val="24"/>
        </w:rPr>
        <w:t xml:space="preserve"> Частью 9 статьи 34 Закона № 44-ФЗ установлено: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Просрочка вызвана заказчиком: [проектная документация передана «[дата]» с ошибками, исправлена «[дата]» / площадка передана с опозданием / заказчик не согласовывал замену материалов [__] дней] — переписка и уведомления о приостановлении работ прилагаются.</w:t>
      </w:r>
    </w:p>
    <w:p>
      <w:pPr>
        <w:spacing w:after="120" w:line="276" w:lineRule="auto"/>
        <w:ind w:firstLine="709"/>
        <w:jc w:val="both"/>
      </w:pPr>
      <w:r>
        <w:rPr>
          <w:rFonts w:ascii="Times New Roman" w:hAnsi="Times New Roman"/>
          <w:b/>
          <w:i w:val="0"/>
          <w:sz w:val="24"/>
        </w:rPr>
        <w:t>Пеня рассчитана неверно.</w:t>
      </w:r>
      <w:r>
        <w:rPr>
          <w:rFonts w:ascii="Times New Roman" w:hAnsi="Times New Roman"/>
          <w:b w:val="0"/>
          <w:i w:val="0"/>
          <w:sz w:val="24"/>
        </w:rPr>
        <w:t xml:space="preserve"> Частью 7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Заказчик начислил пеню на всю цену контракта, не уменьшив её на стоимость исполненных в срок обязательств [сумма] рублей, и применил ставку не на дату уплаты пени. Контррасчёт прилагается.</w:t>
      </w:r>
    </w:p>
    <w:p>
      <w:pPr>
        <w:spacing w:after="120" w:line="276" w:lineRule="auto"/>
        <w:ind w:firstLine="709"/>
        <w:jc w:val="both"/>
      </w:pPr>
      <w:r>
        <w:rPr>
          <w:rFonts w:ascii="Times New Roman" w:hAnsi="Times New Roman"/>
          <w:b/>
          <w:i w:val="0"/>
          <w:sz w:val="24"/>
        </w:rPr>
        <w:t>Штраф за просрочку не взыскивается.</w:t>
      </w:r>
      <w:r>
        <w:rPr>
          <w:rFonts w:ascii="Times New Roman" w:hAnsi="Times New Roman"/>
          <w:b w:val="0"/>
          <w:i w:val="0"/>
          <w:sz w:val="24"/>
        </w:rPr>
        <w:t xml:space="preserve"> Частью 8 статьи 34 Закона № 44-ФЗ установлено: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Заказчик требует штраф за [несвоевременную поставку партии] — это просрочка, за которую предусмотрена только пеня; взыскание штрафа и пени за одно нарушение недопустимо.</w:t>
      </w:r>
    </w:p>
    <w:p>
      <w:pPr>
        <w:spacing w:after="120" w:line="276" w:lineRule="auto"/>
        <w:ind w:firstLine="709"/>
        <w:jc w:val="both"/>
      </w:pPr>
      <w:r>
        <w:rPr>
          <w:rFonts w:ascii="Times New Roman" w:hAnsi="Times New Roman"/>
          <w:b/>
          <w:i w:val="0"/>
          <w:sz w:val="24"/>
        </w:rPr>
        <w:t>Неустойка подлежит списанию.</w:t>
      </w:r>
      <w:r>
        <w:rPr>
          <w:rFonts w:ascii="Times New Roman" w:hAnsi="Times New Roman"/>
          <w:b w:val="0"/>
          <w:i w:val="0"/>
          <w:sz w:val="24"/>
        </w:rPr>
        <w:t xml:space="preserve"> Частью 9.1 статьи 34 Закона № 44-ФЗ установлено: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Контракт исполнен в полном объёме «[дата]»; общая сумма начисленных и неуплаченных неустоек не превышает предела, установленного правилами списания (постановление Правительства РФ от 04.07.2018 № 783), поэтому заказчик был обязан её списать, а не взыскивать.</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цены контракта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34 Федерального закона № 44-ФЗ, статьями 333, 406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