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[наименование заинтересованного лица]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об установлении факта правопреемства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об установлении факта правопреемства [наименование организации] в отношении [прав / имущества] [наименование правопредшественника]. Заинтересованное лицо — [наименование заинтересованного лица]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 правопреемства, суд не учёл, что объём правопреемства определяется передаточным актом, переход права собственности следует акту, а не фактическому владению, реорганизация не завершена, а имущество не принадлежало правопредшественнику на праве собственности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правопреемства определяется передаточным актом.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59 ГК РФ: «Передаточный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юридического лица, которые могут произойти после даты, на которую составлен передаточный акт.» Пунктами 3 и 4 статьи 58 ГК РФ: «При разделении юридического лица его права и обязанности переходят к вновь возникшим юридическим лицам в соответствии с передаточным актом.» «При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актом.» Реорганизация проведена в форме [разделения / выделения]; передаточный акт (разделительный баланс) от «[дата]» сохранился и [не включает спорное имущество / передаёт его [иному правопреемнику]]. Универсального перехода всех прав к заявителю при такой форме реорганизации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права собственности следует передаточному акту, а не фактическому пользованию.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2 статьи 218 ГК РФ: «В случае реорганизации юридического лица право собственности на принадлежавшее ему имущество переходит к юридическим лицам - правопреемникам реорганизованного юридического лица.» Правопреемниками являются лица, названные в акте; совпадение адреса, имущества и коллектива правопреемство не создаёт.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Правопредшественник [не прекратил деятельность / реорганизация не завершена].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57 ГК РФ: «Юридическое лицо считается реорганизованным, за исключением случаев реорганизации в форме присоединения, с момента государственной регистрации юридических лиц, создаваемых в результате реорганизации.» [Правопредшественник действует и сам распоряжается своими правами / запись о завершении реорганизации в реестр не внесена], поэтому вопрос о переходе к заявителю прав решается в споре с ним.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не принадлежало правопредшественнику на праве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[Имущество было закреплено за государственным (муниципальным) предприятием на праве хозяйственного ведения; собственником является [Российская Федерация / субъект РФ / муниципальное образование], который решения о передаче имущества заявителю не принимал.] Установление факта правопреемства предрешит вопрос о праве собственника.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217, 218, 221 АПК РФ, статьями 57, 58, 59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