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доли в праве общей долевой собственности на квартиру</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[1/2 / 1/3 / __] долю в праве общей долевой собственности на квартиру по адресу: [__________], кадастровый номер [__], общей площадью [__] кв. м, [__] комнат(ы), этаж [__] (далее — Квартира, Доля).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1.2. Доля принадлежит Дарителю на основании [договора приватизации / купли-продажи / свидетельства о праве на наследство от «[дата]»], право зарегистрировано в ЕГРН «[дата]», запись № [__]. Остальные участники долевой собственности: [Ф. И. О.] — [__] доля; [Ф. И. О.] — [__] доля. Кадастровая стоимость Доли — [сумма] руб. 1.3. Пунктом 2 статьи 246 ГК РФ установлено: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статьей 250 настоящего Кодекса.» Преимущественное право покупки других сособственников при дарении не применяется (статья 250 ГК РФ распространяется на продажу и мену: «Правила настоящей статьи применяются также при отчуждении доли по договору мены.»); согласие сособственников на дарение не требуется. 1.4. Даритель гарантирует, что Доля не продана, не подарена, не заложена, в споре, под арестом и запрещением не состоит; в Квартире зарегистрированы [Ф. И. О., степень родства] [лица с правом пользования, сохраняющимся после перехода права: [__]]. [Согласие супруга(и) Дарителя на дарение получено / Доля — личная собственность Дарителя.]</w:t>
      </w:r>
    </w:p>
    <w:p>
      <w:pPr>
        <w:spacing w:after="120" w:line="276" w:lineRule="auto"/>
        <w:jc w:val="center"/>
      </w:pPr>
      <w:r>
        <w:rPr>
          <w:rFonts w:ascii="Times New Roman" w:hAnsi="Times New Roman"/>
          <w:b/>
          <w:i w:val="0"/>
          <w:sz w:val="24"/>
        </w:rPr>
        <w:t>II. Порядок пользования квартирой</w:t>
      </w:r>
    </w:p>
    <w:p>
      <w:pPr>
        <w:spacing w:after="120" w:line="276" w:lineRule="auto"/>
        <w:ind w:firstLine="709"/>
        <w:jc w:val="both"/>
      </w:pPr>
      <w:r>
        <w:rPr>
          <w:rFonts w:ascii="Times New Roman" w:hAnsi="Times New Roman"/>
          <w:b w:val="0"/>
          <w:i w:val="0"/>
          <w:sz w:val="24"/>
        </w:rPr>
        <w:t>2.1. [В пользование Одаряемого поступает комната площадью [__] кв. м согласно сложившемуся порядку пользования (соглашение сособственников от «[дата]» / решение суда от «[дата]»); места общего пользования (кухня, санузел, коридор) используются всеми сособственниками совместно / порядок пользования определяется соглашением сособственников, а при его недостижении — судом (пункт 1 статьи 247 ГК РФ).] 2.2. Расходы на содержание Квартиры, коммунальные услуги и капитальный ремонт Одаряемый несёт соразмерно Доле (статья 249 ГК РФ); задолженность Дарителя на дату регистрации перехода права отсутствует [погашается Дарителем].</w:t>
      </w:r>
    </w:p>
    <w:p>
      <w:pPr>
        <w:spacing w:after="120" w:line="276" w:lineRule="auto"/>
        <w:jc w:val="center"/>
      </w:pPr>
      <w:r>
        <w:rPr>
          <w:rFonts w:ascii="Times New Roman" w:hAnsi="Times New Roman"/>
          <w:b/>
          <w:i w:val="0"/>
          <w:sz w:val="24"/>
        </w:rPr>
        <w:t>III. Родственные отношения, налог, форма и регистрация</w:t>
      </w:r>
    </w:p>
    <w:p>
      <w:pPr>
        <w:spacing w:after="120" w:line="276" w:lineRule="auto"/>
        <w:ind w:firstLine="709"/>
        <w:jc w:val="both"/>
      </w:pPr>
      <w:r>
        <w:rPr>
          <w:rFonts w:ascii="Times New Roman" w:hAnsi="Times New Roman"/>
          <w:b w:val="0"/>
          <w:i w:val="0"/>
          <w:sz w:val="24"/>
        </w:rPr>
        <w:t>3.1. Даритель и Одаряемый являются [близкими родственниками — [__]]; подпунктом 18.1 пункта 1 статьи 217 Налогового кодекса Российской Федерации установлено: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[Стороны не являются близкими родственниками; Одаряемый уплачивает НДФЛ с кадастровой стоимости Доли.] 3.2. Договор подлежит нотариальному удостоверению: пунктом 3 статьи 574 ГК РФ установлено: «Договор дарения недвижимого имущества, заключенный между гражданами, подлежит нотариальному удостоверению.»; сделки по отчуждению долей в праве общей собственности удостоверяются нотариально также в силу части 1.1 статьи 42 Федерального закона от 13.07.2015 № 218-ФЗ «О государственной регистрации недвижимости». 3.3. Право на Долю переходит к Одаряемому с момента государственной регистрации (пункт 2 статьи 223 ГК РФ: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документы в Росреестр направляет нотариус; пошлину уплачивает [Одаряемый].</w:t>
      </w:r>
    </w:p>
    <w:p>
      <w:pPr>
        <w:spacing w:after="120" w:line="276" w:lineRule="auto"/>
        <w:jc w:val="center"/>
      </w:pPr>
      <w:r>
        <w:rPr>
          <w:rFonts w:ascii="Times New Roman" w:hAnsi="Times New Roman"/>
          <w:b/>
          <w:i w:val="0"/>
          <w:sz w:val="24"/>
        </w:rPr>
        <w:t>IV. Передача и общие положения</w:t>
      </w:r>
    </w:p>
    <w:p>
      <w:pPr>
        <w:spacing w:after="120" w:line="276" w:lineRule="auto"/>
        <w:ind w:firstLine="709"/>
        <w:jc w:val="both"/>
      </w:pPr>
      <w:r>
        <w:rPr>
          <w:rFonts w:ascii="Times New Roman" w:hAnsi="Times New Roman"/>
          <w:b w:val="0"/>
          <w:i w:val="0"/>
          <w:sz w:val="24"/>
        </w:rPr>
        <w:t>4.1. Доля считается переданной с момента подписания Договора [передаточного акта]; Одаряемый вступает во владение и пользование Квартирой соразмерно Доле с даты регистрации. 4.2.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4.3.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4.4. Пунктом 2 статьи 292 ГК РФ предусмотрено: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Квартиры.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составлен в [трёх] экземплярах, один хранится у нотариуса. Содержание статей 572–580, 246–250 ГК РФ, 35–36 Семейного кодекса, 217 Налогового кодекса Сторонам разъяснено. Приложения: выписка из ЕГРН; [соглашение о порядке пользования; согласие супруга(и); документы о родстве].</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13.01.2025 договор дарения недвижимости между гражданами подлежит обязательному нотариальному удостоверению (п. 3 ст. 574 ГК РФ) — без нотариуса он ничтожен; нотариус сам направляет документы в Росреестр, переход права регистрируется за один-три рабочих дня. Этот образец — проект для нотариуса и для проверки условий.</w:t>
      </w:r>
    </w:p>
    <w:p>
      <w:pPr>
        <w:spacing w:after="40" w:line="276" w:lineRule="auto"/>
        <w:jc w:val="both"/>
      </w:pPr>
      <w:r>
        <w:rPr>
          <w:rFonts w:ascii="Times New Roman" w:hAnsi="Times New Roman"/>
          <w:b w:val="0"/>
          <w:i/>
          <w:sz w:val="24"/>
        </w:rPr>
        <w:t>— Дарение доли не требует согласия и извещения сособственников — преимущественное право действует только при продаже и мене (ст. 250); именно поэтому «дарением» нередко прикрывают продажу доли постороннему, и такая сделка оспаривается как притворная (п. 2 ст. 170 ГК РФ) с переводом прав покупателя на сособственника.</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Подарок — личная собственность одаряемого супруга и при разводе не делится (п. 1 ст. 36 СК РФ, п. 2 ст. 256 ГК РФ); если дар был совместно нажитым имуществом дарителя, нужно нотариальное согласие его супруга (п. 3 ст. 35 СК РФ).</w:t>
      </w:r>
    </w:p>
    <w:p>
      <w:pPr>
        <w:spacing w:after="40" w:line="276" w:lineRule="auto"/>
        <w:jc w:val="both"/>
      </w:pPr>
      <w:r>
        <w:rPr>
          <w:rFonts w:ascii="Times New Roman" w:hAnsi="Times New Roman"/>
          <w:b w:val="0"/>
          <w:i/>
          <w:sz w:val="24"/>
        </w:rPr>
        <w:t>— Микродоли: с 01.09.2022 нельзя образовать долю, на которую приходится менее 6 кв. м общей площади, кроме наследования, приватизации и дарения между родственниками по закону (ч. 1.1 ст. 30 ЖК РФ) — проверяйте площадь, приходящуюся на долю.</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