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движимого имущества</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следующее имущество (далее — Имущество): 1) [наименование, марка, модель, серийный номер, год выпуска, состояние] — [__] шт.; 2) [__]; 3) [__] (полный перечень — в акте приёма-передачи, приложение № 1). Общая стоимость Имущества по оценке Сторон — [сумма] ([сумма прописью]) рублей [по отчёту об оценке № [__] / документам приобретения].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1.2. Имущество принадлежит Дарителю на праве собственности на основании [товарных чеков, накладных от «[дата]» / инвентарных карточек / иных документов], не заложено, не арестовано, правами третьих лиц не обременено, не является предметом спора. [Для Дарителя-организации: Имущество учтено на балансе (инвентарные номера [__]); решение о дарении принято [уполномоченным органом от «[дата]»] в пределах полномочий; Одаряемый не является работником Дарителя / является работником — дарение оформляется с учётом статьи 191 Трудового кодекса.] 1.3. [Для ювелирных изделий, предметов искусства, антиквариата: Даритель передаёт сертификаты, экспертные заключения, документы о приобретении; Одаряемый уведомлён о необходимости соблюдения правил оборота [драгоценных металлов / культурных ценностей].]</w:t>
      </w:r>
    </w:p>
    <w:p>
      <w:pPr>
        <w:spacing w:after="120" w:line="276" w:lineRule="auto"/>
        <w:jc w:val="center"/>
      </w:pPr>
      <w:r>
        <w:rPr>
          <w:rFonts w:ascii="Times New Roman" w:hAnsi="Times New Roman"/>
          <w:b/>
          <w:i w:val="0"/>
          <w:sz w:val="24"/>
        </w:rPr>
        <w:t>II. Передача имущества</w:t>
      </w:r>
    </w:p>
    <w:p>
      <w:pPr>
        <w:spacing w:after="120" w:line="276" w:lineRule="auto"/>
        <w:ind w:firstLine="709"/>
        <w:jc w:val="both"/>
      </w:pPr>
      <w:r>
        <w:rPr>
          <w:rFonts w:ascii="Times New Roman" w:hAnsi="Times New Roman"/>
          <w:b w:val="0"/>
          <w:i w:val="0"/>
          <w:sz w:val="24"/>
        </w:rPr>
        <w:t>2.1. Имущество передаётся [в момент подписания Договора / не позднее «[дата]»] по адресу [__] по акту приёма-передачи с указанием комплектности, состояния, документов и принадлежностей (гарантийные талоны, инструкции, ключи, упаковка). Пунктом 1 статьи 574 ГК РФ установлено: «Дарение,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 2.2. Право собственности и риск случайной гибели переходят к Одаряемому с момента подписания акта (пункт 1 статьи 223 ГК РФ: «Право собственности у приобретателя вещи по договору возникает с момента ее передачи, если иное не предусмотрено законом или договором.»). 2.3. Доставка и монтаж осуществляются [силами Дарителя / Одаряемого] за счёт [__]. 2.4. Одаряемый осмотрел Имущество и ознакомлен с его состоянием и недостатками: [перечень]; Даритель отвечает за вред, причинённый недостатками, о которых он знал и не предупредил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pPr>
        <w:spacing w:after="120" w:line="276" w:lineRule="auto"/>
        <w:jc w:val="center"/>
      </w:pPr>
      <w:r>
        <w:rPr>
          <w:rFonts w:ascii="Times New Roman" w:hAnsi="Times New Roman"/>
          <w:b/>
          <w:i w:val="0"/>
          <w:sz w:val="24"/>
        </w:rPr>
        <w:t>III. Форма договора и налоговые последствия</w:t>
      </w:r>
    </w:p>
    <w:p>
      <w:pPr>
        <w:spacing w:after="120" w:line="276" w:lineRule="auto"/>
        <w:ind w:firstLine="709"/>
        <w:jc w:val="both"/>
      </w:pPr>
      <w:r>
        <w:rPr>
          <w:rFonts w:ascii="Times New Roman" w:hAnsi="Times New Roman"/>
          <w:b w:val="0"/>
          <w:i w:val="0"/>
          <w:sz w:val="24"/>
        </w:rPr>
        <w:t>3.1. Пунктом 2 статьи 574 ГК РФ установлено: «Договор дарения движимого имущества должен быть совершен в письменной форме в случаях, когда: дарителем является юридическое лицо и стоимость дара превышает три тысячи рублей; договор содержит обещание дарения в будущем. В случаях, предусмотренных в настоящем пункте, договор дарения, совершенный устно, ничтожен.» Договор заключён в письменной форме [в силу закона — Даритель является юридическим лицом, стоимость Имущества превышает три тысячи рублей]. 3.2. [Между гражданами: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 доход Одаряемого НДФЛ не облагается независимо от родства.] [От организации гражданину: стоимость Имущества свыше 4 000 руб. в год облагается НДФЛ (пункт 28 статьи 217 Налогового кодекса); Даритель как налоговый агент [удерживает налог из иных выплат Одаряемому / при невозможности удержания сообщает в налоговый орган и Одаряемому до 25 февраля следующего года]; передача Имущества облагается НДС у Дарителя (подпункт 1 пункта 1 статьи 146 Налогового кодекса), расходы в налоге на прибыль не учитываются (пункт 16 статьи 270).]</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Статьёй 575 ГК РФ установлены запреты: «Не допускается дарение, за исключением обычных подарков, стоимость которых не превышает трех тысяч рублей: 1) от имени малолетних и граждан, признанных недееспособными, их законными представителями; 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 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4) в отношениях между коммерческими организациями.» — к Сторонам не относятся. 4.3.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[Стороны согласовали право Дарителя отменить дарение, если он переживёт Одаряемого (пункт 4 статьи 578 ГК РФ: «В договоре дарения может быть обусловлено право дарителя отменить дарение в случае, если он переживет одаряемого.»).]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4.4. Пунктом 1 статьи 576 ГК РФ установлено: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 [Даритель — унитарное предприятие (учреждение): согласие собственника от «[дата]» прилагается.]</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акт приёма-передачи с перечнем Имущества; [документы о приобретении; сертификаты; согласие собственника / решение органа управления Дарителя].</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Между гражданами дарение вещей возможно устно с передачей, но письменный договор с актом доказывает собственность одаряемого (спор о разделе, наследство, арест у дарителя); обязательна письменная форма при дарителе-организации и стоимости свыше 3 000 руб. (п. 2 ст. 574).</w:t>
      </w:r>
    </w:p>
    <w:p>
      <w:pPr>
        <w:spacing w:after="40" w:line="276" w:lineRule="auto"/>
        <w:jc w:val="both"/>
      </w:pPr>
      <w:r>
        <w:rPr>
          <w:rFonts w:ascii="Times New Roman" w:hAnsi="Times New Roman"/>
          <w:b w:val="0"/>
          <w:i/>
          <w:sz w:val="24"/>
        </w:rPr>
        <w:t>— Подарки от организации физлицу: НДФЛ свыше 4 000 руб. в год (п. 28 ст. 217 НК РФ) и НДС у дарителя; работникам лучше оформлять как поощрение (ст. 191 ТК РФ) или подарок по письменному договору — тогда без страховых взносов.</w:t>
      </w:r>
    </w:p>
    <w:p>
      <w:pPr>
        <w:spacing w:after="40" w:line="276" w:lineRule="auto"/>
        <w:jc w:val="both"/>
      </w:pPr>
      <w:r>
        <w:rPr>
          <w:rFonts w:ascii="Times New Roman" w:hAnsi="Times New Roman"/>
          <w:b w:val="0"/>
          <w:i/>
          <w:sz w:val="24"/>
        </w:rPr>
        <w:t>— Запреты: дарение от имени малолетних и недееспособных, подарки чиновникам, врачам, педагогам сверх 3 000 руб. и дарение между коммерческими организациями ничтожны (ст. 575 ГК РФ); встречное предоставление превращает дарение в куплю-продажу (абз. 2 п. 1 ст. 572).</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