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хранения № [__]</w:t>
      </w:r>
    </w:p>
    <w:p>
      <w:pPr>
        <w:spacing w:after="120" w:line="276" w:lineRule="auto"/>
        <w:ind w:firstLine="709"/>
        <w:jc w:val="both"/>
      </w:pPr>
      <w:r>
        <w:rPr>
          <w:rFonts w:ascii="Times New Roman" w:hAnsi="Times New Roman"/>
          <w:b w:val="0"/>
          <w:i w:val="0"/>
          <w:sz w:val="24"/>
        </w:rPr>
        <w:t>[полное наименование], ОГРН [__________], ИНН [__________], адрес: [адрес из ЕГРЮЛ], в лице [должность, Ф. И. О.], действующего на основании [устава / доверенности от «[дата]» № [__]] (далее — Поклажедатель), с одной стороны, и [полное наименование], ОГРН [__________], ИНН [__________], адрес: [адрес из ЕГРЮЛ], в лице [должность, Ф. И. О.], действующего на основании [устава / доверенности от «[дата]» № [__]] (далее — Хранитель),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Хранитель обязуется принимать от Поклажедателя на хранение товар — [наименование группы товаров, характер упаковки, особые условия] (далее — Товар), хранить его на складе по адресу: [__________] (далее — Склад) и возвращать Товар в сохранности Поклажедателю или указанному им лицу, а Поклажедатель обязуется оплачивать услуги хранения. Пунктом 1 статьи 886 Гражданского кодекса Российской Федерации установлено: «По договору хранения одна сторона (хранитель) обязуется хранить вещь, переданную ей другой стороной (поклажедателем), и возвратить эту вещь в сохранности.» Пунктом 2 той же статьи предусмотрено: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 Хранитель является профессиональным хранителем. 1.2. Товар передаётся партиями на основании заявок Поклажедателя [с указанием наименования, количества, веса, объёма, стоимости, срока хранения, условий (температурный режим [__] °C, влажность, запрет штабелирования)]. 1.3. Статьёй 887 ГК РФ установлено: «Договор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стоимости вещи, передаваемой на хранение. 2. Простая письменная форма договора хранения считается соблюденной, если принятие вещи на хранение удостоверено хранителем выдачей поклажедателю: сохранной расписки, квитанции, свидетельства или иного документа, подписанного хранителем». Приём Товара удостоверяется актом приёма-передачи (форма МХ-1) [складской квитанцией], подписанным Сторонами, с указанием количества мест, веса, видимого состояния упаковки и выявленных повреждений; возврат — актом (форма МХ-3). Товар [хранится обособленно с индивидуальной маркировкой / с обезличением по видам — статья 890 ГК РФ].</w:t>
      </w:r>
    </w:p>
    <w:p>
      <w:pPr>
        <w:spacing w:after="120" w:line="276" w:lineRule="auto"/>
        <w:jc w:val="center"/>
      </w:pPr>
      <w:r>
        <w:rPr>
          <w:rFonts w:ascii="Times New Roman" w:hAnsi="Times New Roman"/>
          <w:b/>
          <w:i w:val="0"/>
          <w:sz w:val="24"/>
        </w:rPr>
        <w:t>II. Срок хранения</w:t>
      </w:r>
    </w:p>
    <w:p>
      <w:pPr>
        <w:spacing w:after="120" w:line="276" w:lineRule="auto"/>
        <w:ind w:firstLine="709"/>
        <w:jc w:val="both"/>
      </w:pPr>
      <w:r>
        <w:rPr>
          <w:rFonts w:ascii="Times New Roman" w:hAnsi="Times New Roman"/>
          <w:b w:val="0"/>
          <w:i w:val="0"/>
          <w:sz w:val="24"/>
        </w:rPr>
        <w:t>2.1. Договор заключён на срок до «[дата]» с продлением на каждый следующий год при отсутствии возражений за [30] дней; срок хранения каждой партии определяется заявкой, а при отсутствии указания — до востребования. Статьёй 889 ГК РФ установлено: «Хранитель обязан хранить вещь в течение обусловленного договором хранения срока. 2. 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 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статьей 899 настоящего Кодекса.» 2.2. Поклажедатель вправе истребовать Товар до истечения срока хранения, уведомив Хранителя за [1] рабочий день; Хранитель отгружает Товар в течение [1] рабочего дня с даты получения распоряжения [при условии оплаты оказанных услуг]. 2.3. При неисполнении Поклажедателем обязанности забрать Товар по истечении срока Хранитель после письменного предупреждения вправе реализовать Товар в порядке статьи 899 ГК РФ [при стоимости свыше пятидесяти тысяч рублей — с аукциона] с удержанием причитающихся сумм.</w:t>
      </w:r>
    </w:p>
    <w:p>
      <w:pPr>
        <w:spacing w:after="120" w:line="276" w:lineRule="auto"/>
        <w:jc w:val="center"/>
      </w:pPr>
      <w:r>
        <w:rPr>
          <w:rFonts w:ascii="Times New Roman" w:hAnsi="Times New Roman"/>
          <w:b/>
          <w:i w:val="0"/>
          <w:sz w:val="24"/>
        </w:rPr>
        <w:t>III. Условия хранения и обязанности сторон</w:t>
      </w:r>
    </w:p>
    <w:p>
      <w:pPr>
        <w:spacing w:after="120" w:line="276" w:lineRule="auto"/>
        <w:ind w:firstLine="709"/>
        <w:jc w:val="both"/>
      </w:pPr>
      <w:r>
        <w:rPr>
          <w:rFonts w:ascii="Times New Roman" w:hAnsi="Times New Roman"/>
          <w:b w:val="0"/>
          <w:i w:val="0"/>
          <w:sz w:val="24"/>
        </w:rPr>
        <w:t>3.1. Хранитель обязан: принять все предусмотренные Договором меры для обеспечения сохранности Товара — круглосуточную охрану, видеонаблюдение, противопожарную защиту, поддержание режима [температура, влажность], раздельное хранение несовместимых товаров (пункты 1, 2 статьи 891 ГК РФ: «Хранитель обязан принять все предусмотренные договором хранения меры для того, чтобы обеспечить сохранность переданной на хранение вещи. 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 2.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 не пользоваться Товаром и не передавать его третьим лицам (статья 892); не передавать Товар на хранение третьему лицу без согласия Поклажедателя (статья 895); вести складской учёт и предоставлять Поклажедателю сведения об остатках [в личном кабинете / по запросу в течение [1] рабочего дня]; обеспечить доступ представителей Поклажедателя для осмотра и инвентаризации в рабочее время; немедленно уведомлять о повреждении, недостаче, обстоятельствах, угрожающих сохранности, и о притязаниях третьих лиц. 3.2. Поклажедатель обязан: передавать Товар в исправной упаковке с маркировкой, предупреждать о свойствах Товара и мерах предосторожности (статья 894 ГК РФ); оплачивать услуги; забрать Товар по окончании срока (статья 899); возместить расходы на хранение сверх согласованных, вызванные свойствами Товара или его указаниями. 3.3. Приёмка по количеству и качеству внутри упаковки [производится Хранителем с составлением акта в течение [1] рабочего дня / не производится — Хранитель отвечает за количество мест и целостность упаковки]. Расхождения оформляются актом с участием представителя Поклажедателя [перевозчика].</w:t>
      </w:r>
    </w:p>
    <w:p>
      <w:pPr>
        <w:spacing w:after="120" w:line="276" w:lineRule="auto"/>
        <w:jc w:val="center"/>
      </w:pPr>
      <w:r>
        <w:rPr>
          <w:rFonts w:ascii="Times New Roman" w:hAnsi="Times New Roman"/>
          <w:b/>
          <w:i w:val="0"/>
          <w:sz w:val="24"/>
        </w:rPr>
        <w:t>IV. Стоимость услуг и порядок расчётов</w:t>
      </w:r>
    </w:p>
    <w:p>
      <w:pPr>
        <w:spacing w:after="120" w:line="276" w:lineRule="auto"/>
        <w:ind w:firstLine="709"/>
        <w:jc w:val="both"/>
      </w:pPr>
      <w:r>
        <w:rPr>
          <w:rFonts w:ascii="Times New Roman" w:hAnsi="Times New Roman"/>
          <w:b w:val="0"/>
          <w:i w:val="0"/>
          <w:sz w:val="24"/>
        </w:rPr>
        <w:t>4.1. Стоимость хранения определяется по тарифам (приложение № 1): [сумма] руб. за [паллето-место / куб. м / тонну] в сутки, [в том числе НДС [__] %]; погрузочно-разгрузочные работы, комплектация, упаковка, оформление документов — по тарифам дополнительно. 4.2. Оплата производится [ежемесячно в течение [5] банковских дней с даты получения акта оказанных услуг и счёта / авансом]. Акт считается принятым при отсутствии мотивированных возражений в течение [5] рабочих дней. 4.3. Расходы Хранителя на хранение включены в вознаграждение (статья 897 ГК РФ); чрезвычайные расходы возмещаются с согласия Поклажедателя (статья 898). 4.4. При просрочке оплаты более [__] дней Хранитель вправе удерживать Товар до погашения задолженности (статья 359 ГК РФ) с начислением платы за хранение.</w:t>
      </w:r>
    </w:p>
    <w:p>
      <w:pPr>
        <w:spacing w:after="120" w:line="276" w:lineRule="auto"/>
        <w:jc w:val="center"/>
      </w:pPr>
      <w:r>
        <w:rPr>
          <w:rFonts w:ascii="Times New Roman" w:hAnsi="Times New Roman"/>
          <w:b/>
          <w:i w:val="0"/>
          <w:sz w:val="24"/>
        </w:rPr>
        <w:t>V. Ответственность сторон</w:t>
      </w:r>
    </w:p>
    <w:p>
      <w:pPr>
        <w:spacing w:after="120" w:line="276" w:lineRule="auto"/>
        <w:ind w:firstLine="709"/>
        <w:jc w:val="both"/>
      </w:pPr>
      <w:r>
        <w:rPr>
          <w:rFonts w:ascii="Times New Roman" w:hAnsi="Times New Roman"/>
          <w:b w:val="0"/>
          <w:i w:val="0"/>
          <w:sz w:val="24"/>
        </w:rPr>
        <w:t>5.1. Статьёй 901 ГК РФ установлено: «Хранитель отвечает за утрату, недостачу или повреждение вещей, принятых на хранение, по основаниям, предусмотренным статьей 401 настоящего Кодекса. 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поклажедателя. 2. За утрату, недостачу или повреждение принятых на хранение вещей после того, как наступила обязанность поклажедателя взять эти вещи обратно (пункт 1 статьи 899), хранитель отвечает лишь при наличии с его стороны умысла или грубой неосторожности.» 5.2. Пунктом 1 статьи 902 ГК РФ предусмотрено: «Убытки, причиненные поклажедателю утратой, недостачей или повреждением вещей, возмещаются хранителем в соответствии со статьей 393 настоящего Кодекса, если законом или договором хранения не предусмотрено иное.» Убытки возмещаются в размере стоимости утраченного (недостающего) Товара по [стоимости, указанной в акте приёма-передачи / товарной накладной Поклажедателя], а при повреждении — в размере суммы, на которую понизилась стоимость; при невозможности использования Товара по назначению Поклажедатель вправе отказаться от него и требовать полной стоимости (пункт 3 статьи 902 ГК РФ: «В случае,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возмещения стоимости этой вещи, а также других убытков, если иное не предусмотрено законом или договором хранения.»). [Ответственность Хранителя ограничена объявленной стоимостью Товара, указанной в заявке; Товар застрахован Хранителем на сумму [__] руб.] 5.3. Хранитель возвращает Товар в том состоянии, в каком он был принят, с учётом естественного ухудшения и убыли в пределах норм [__] (статья 900 ГК РФ: «Хранитель обязан возвратить поклажедателю или лицу, указанному им в качестве получателя, ту самую вещь, которая была передана на хранение, если договором не предусмотрено хранение с обезличением (статья 890). 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 5.4. За просрочку выдачи Товара Хранитель уплачивает неустойку [0,1] процента стоимости невыданного Товара за каждый день; за просрочку оплаты Поклажедатель — [0,1] процента от суммы долга за каждый день; за несвоевременный вывоз Товара после прекращения Договора — плату за хранение по тарифу [в двойном размере]. 5.5. Поклажедатель возмещает Хранителю убытки, причинённые свойствами Товара, о которых Хранитель не был предупреждён (статья 903 ГК РФ). 5.6.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VI. Заключительные положения</w:t>
      </w:r>
    </w:p>
    <w:p>
      <w:pPr>
        <w:spacing w:after="120" w:line="276" w:lineRule="auto"/>
        <w:ind w:firstLine="709"/>
        <w:jc w:val="both"/>
      </w:pPr>
      <w:r>
        <w:rPr>
          <w:rFonts w:ascii="Times New Roman" w:hAnsi="Times New Roman"/>
          <w:b w:val="0"/>
          <w:i w:val="0"/>
          <w:sz w:val="24"/>
        </w:rPr>
        <w:t>6.1. Любая Сторона вправе отказаться от Договора с уведомлением за [30] дней; Поклажедатель — в любое время потребовать возврата Товара (статья 904 ГК РФ) с оплатой услуг за фактический период. 6.2.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Арбитражном суде [наименование субъекта] (по месту нахождения Склада).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6.3. Стороны признают юридическую силу заявок, актов и распоряжений, направленных через [систему ЭДО / электронную почту с адресов, указанных в Договоре]. 6.4.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тарифы; № 2 — формы акта приёма-передачи (МХ-1) и акта о возврате (МХ-3); № 3 — форма заявки и распоряжения на отгрузку.</w:t>
      </w:r>
    </w:p>
    <w:p>
      <w:pPr>
        <w:spacing w:after="120" w:line="276" w:lineRule="auto"/>
        <w:jc w:val="center"/>
      </w:pPr>
      <w:r>
        <w:rPr>
          <w:rFonts w:ascii="Times New Roman" w:hAnsi="Times New Roman"/>
          <w:b/>
          <w:i w:val="0"/>
          <w:sz w:val="24"/>
        </w:rPr>
        <w:t>VII. Реквизиты и подписи сторон</w:t>
      </w:r>
    </w:p>
    <w:p>
      <w:pPr>
        <w:spacing w:after="120" w:line="276" w:lineRule="auto"/>
        <w:ind w:firstLine="709"/>
        <w:jc w:val="both"/>
      </w:pPr>
      <w:r>
        <w:rPr>
          <w:rFonts w:ascii="Times New Roman" w:hAnsi="Times New Roman"/>
          <w:b w:val="0"/>
          <w:i w:val="0"/>
          <w:sz w:val="24"/>
        </w:rPr>
        <w:t>Поклажедатель: [наименование / Ф. И. О.], [ОГРН/ИНН / паспортные данные], адрес: [__________], тел.: [__________], e-mail: [__________], банковские реквизиты: р/с [__________] в [банк], БИК [__________], к/с [__________]. Хранитель: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Поклажедатель:</w:t>
        <w:tab/>
        <w:tab/>
        <w:tab/>
        <w:tab/>
        <w:tab/>
        <w:t>__________________ / [Ф. И. О.]</w:t>
        <w:br/>
        <w:br/>
        <w:t>Хранитель:</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Профессиональный хранитель отвечает за утрату и повреждение без вины — освобождает только непреодолимая сила, свойства вещи или умысел поклажедателя (п. 1 ст. 901); условие об ограничении ответственности объявленной стоимостью допустимо и широко применяется.</w:t>
      </w:r>
    </w:p>
    <w:p>
      <w:pPr>
        <w:spacing w:after="40" w:line="276" w:lineRule="auto"/>
        <w:jc w:val="both"/>
      </w:pPr>
      <w:r>
        <w:rPr>
          <w:rFonts w:ascii="Times New Roman" w:hAnsi="Times New Roman"/>
          <w:b w:val="0"/>
          <w:i/>
          <w:sz w:val="24"/>
        </w:rPr>
        <w:t>— Акты МХ-1/МХ-3 с описанием состояния упаковки — ключевые доказательства: что принято, в каком количестве и состоянии; при хранении с обезличением (ст. 890) возвращается равное количество того же рода и качества.</w:t>
      </w:r>
    </w:p>
    <w:p>
      <w:pPr>
        <w:spacing w:after="40" w:line="276" w:lineRule="auto"/>
        <w:jc w:val="both"/>
      </w:pPr>
      <w:r>
        <w:rPr>
          <w:rFonts w:ascii="Times New Roman" w:hAnsi="Times New Roman"/>
          <w:b w:val="0"/>
          <w:i/>
          <w:sz w:val="24"/>
        </w:rPr>
        <w:t>— Право удержания товара при неоплате (ст. 359) и реализация невостребованного товара (ст. 899) защищают хранителя; поклажедатель вправе забрать товар в любое время (ст. 904), оплатив фактический срок.</w:t>
      </w:r>
    </w:p>
    <w:p>
      <w:pPr>
        <w:spacing w:after="40" w:line="276" w:lineRule="auto"/>
        <w:jc w:val="both"/>
      </w:pPr>
      <w:r>
        <w:rPr>
          <w:rFonts w:ascii="Times New Roman" w:hAnsi="Times New Roman"/>
          <w:b w:val="0"/>
          <w:i/>
          <w:sz w:val="24"/>
        </w:rPr>
        <w:t>— Если хранитель оказывает и логистические услуги (комплектация, отгрузка клиентам), это смешанный договор — пропишите тарифы и ответственность по каждой услуге отдельно.</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