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займа с обеспечением залогом транспортного средства № [__]</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Займодавец (Залогодержатель)),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Заёмщик (Залогодатель)),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Займодавец передаёт Заёмщику денежные средства в размере [сумма] ([сумма прописью]) рублей (далее — Сумма займа), а Заёмщик обязуется возвратить Сумму займа и уплатить проценты в порядке и сроки, установленные Договором. Пунктом 1 статьи 807 Гражданского кодекса Российской Федерации установлено: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 1.2. Сумма займа передаётся [наличными при подписании Договора под расписку / перечислением на счёт Заёмщика № [__] в течение [1] дня после регистрации уведомления о залоге]. Пунктом 2 статьи 808 ГК РФ предусмотрено: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 1.3. Исполнение обязательств Заёмщика обеспечивается залогом транспортного средства (раздел III). Пунктом 1 статьи 329 ГК РФ установлено: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w:t>
      </w:r>
    </w:p>
    <w:p>
      <w:pPr>
        <w:spacing w:after="120" w:line="276" w:lineRule="auto"/>
        <w:jc w:val="center"/>
      </w:pPr>
      <w:r>
        <w:rPr>
          <w:rFonts w:ascii="Times New Roman" w:hAnsi="Times New Roman"/>
          <w:b/>
          <w:i w:val="0"/>
          <w:sz w:val="24"/>
        </w:rPr>
        <w:t>II. Проценты и порядок возврата</w:t>
      </w:r>
    </w:p>
    <w:p>
      <w:pPr>
        <w:spacing w:after="120" w:line="276" w:lineRule="auto"/>
        <w:ind w:firstLine="709"/>
        <w:jc w:val="both"/>
      </w:pPr>
      <w:r>
        <w:rPr>
          <w:rFonts w:ascii="Times New Roman" w:hAnsi="Times New Roman"/>
          <w:b w:val="0"/>
          <w:i w:val="0"/>
          <w:sz w:val="24"/>
        </w:rPr>
        <w:t>2.1. За пользование Суммой займа Заёмщик уплачивает проценты по ставке [__] процентов годовых, начисляемые со дня, следующего за днём предоставления займа, по день возврата включительно, и уплачиваемые [ежемесячно не позднее [__] числа / одновременно с возвратом]. Пунктом 1 статьи 809 ГК РФ установлено: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2.2. Сумма займа возвращается [единовременно не позднее «[дата]» / частями по графику (приложение № 1)]. Пунктом 1 статьи 810 ГК РФ предусмотрено: «Заемщик обязан возвратить займодавцу полученную сумму займа в срок и в порядке, которые предусмотрены договором займа.» Досрочный возврат допускается [с уведомлением за [30] дней]. 2.3. При нарушении срока возврата Заёмщик уплачивает неустойку [0,1] процента от просроченной суммы за каждый день (пункт 1 статьи 811 ГК РФ: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 при нарушении срока возврата очередной части Займодавец вправе требовать досрочного возврата всей Суммы займа с процентами (пункт 2 статьи 811 ГК РФ).</w:t>
      </w:r>
    </w:p>
    <w:p>
      <w:pPr>
        <w:spacing w:after="120" w:line="276" w:lineRule="auto"/>
        <w:jc w:val="center"/>
      </w:pPr>
      <w:r>
        <w:rPr>
          <w:rFonts w:ascii="Times New Roman" w:hAnsi="Times New Roman"/>
          <w:b/>
          <w:i w:val="0"/>
          <w:sz w:val="24"/>
        </w:rPr>
        <w:t>III. Залог транспортного средства</w:t>
      </w:r>
    </w:p>
    <w:p>
      <w:pPr>
        <w:spacing w:after="120" w:line="276" w:lineRule="auto"/>
        <w:ind w:firstLine="709"/>
        <w:jc w:val="both"/>
      </w:pPr>
      <w:r>
        <w:rPr>
          <w:rFonts w:ascii="Times New Roman" w:hAnsi="Times New Roman"/>
          <w:b w:val="0"/>
          <w:i w:val="0"/>
          <w:sz w:val="24"/>
        </w:rPr>
        <w:t>3.1. В обеспечение исполнения обязательств по Договору Заёмщик передаёт в залог Займодавцу принадлежащее ему на праве собственности транспортное средство: марка, модель — [__], VIN — [__], год выпуска — [__], государственный регистрационный знак — [__], ПТС [__], СТС [__] (далее — Предмет залога). Пунктом 1 статьи 334 ГК РФ установлено: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 3.2. Предмет залога оценён Сторонами в [сумма] рублей. Залогом обеспечиваются требования о возврате Суммы займа, уплате процентов, неустойки, возмещении убытков и расходов по взысканию в полном объёме на дату удовлетворения. Пунктом 1 статьи 339 ГК РФ установлено: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 3.3. Предмет залога остаётся во владении и пользовании Заёмщика; Заёмщик не вправе отчуждать его, передавать в последующий залог, аренду или третьим лицам, изменять конструкцию без письменного согласия Займодавца; обязан поддерживать Предмет залога в исправном состоянии, застраховать его по КАСКО [на сумму не менее [сумма] руб. в пользу Займодавца] и предъявлять для осмотра по требованию Займодавца не реже [одного] раза в [квартал]. ПТС [передаётся на хранение Займодавцу по акту / остаётся у Заёмщика]. 3.4. Стороны обязуются в течение [1] рабочего дня с даты подписания Договора направить нотариусу уведомление о возникновении залога для регистрации в реестре уведомлений о залоге движимого имущества (статья 339.1 ГК РФ); расходы несёт [Заёмщик]. 3.5. Заёмщик гарантирует, что Предмет залога не обременён правами третьих лиц, не является предметом спора, ареста и иного залога; [согласие супруга(и) на передачу в залог прилагается]. Залог сохраняется при переходе права на Предмет залога к иному лицу (статья 353 ГК РФ).</w:t>
      </w:r>
    </w:p>
    <w:p>
      <w:pPr>
        <w:spacing w:after="120" w:line="276" w:lineRule="auto"/>
        <w:jc w:val="center"/>
      </w:pPr>
      <w:r>
        <w:rPr>
          <w:rFonts w:ascii="Times New Roman" w:hAnsi="Times New Roman"/>
          <w:b/>
          <w:i w:val="0"/>
          <w:sz w:val="24"/>
        </w:rPr>
        <w:t>IV. Обращение взыскания на предмет залога</w:t>
      </w:r>
    </w:p>
    <w:p>
      <w:pPr>
        <w:spacing w:after="120" w:line="276" w:lineRule="auto"/>
        <w:ind w:firstLine="709"/>
        <w:jc w:val="both"/>
      </w:pPr>
      <w:r>
        <w:rPr>
          <w:rFonts w:ascii="Times New Roman" w:hAnsi="Times New Roman"/>
          <w:b w:val="0"/>
          <w:i w:val="0"/>
          <w:sz w:val="24"/>
        </w:rPr>
        <w:t>4.1. Займодавец вправе обратить взыскание на Предмет залога при неисполнении или ненадлежащем исполнении Заёмщиком обязательств по возврату Суммы займа и уплате процентов, в том числе при однократной просрочке более чем на [30] дней либо при нарушении условий раздела III. 4.2. Взыскание обращается [в судебном порядке с реализацией на публичных торгах / во внесудебном порядке по соглашению Сторон (пункт 1 статьи 339, статья 350.1 ГК РФ): путём продажи Предмета залога Займодавцем третьему лицу по цене не ниже рыночной, определённой независимым оценщиком, с направлением Заёмщику уведомления о начале обращения взыскания не менее чем за десять дней]. Начальная продажная цена — [оценочная стоимость по пункту 3.2 / 80 процентов рыночной стоимости по отчёту оценщика]. 4.3. Из вырученной суммы погашаются расходы на реализацию, неустойка, проценты, Сумма займа; разница возвращается Заёмщику, при недостаточности Займодавец вправе получить недостающую сумму из иного имущества Заёмщика (пункт 3 статьи 334 ГК РФ: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иного имущества должника, не пользуясь преимуществом, основанным на залоге.»). 4.4. Заёмщик обязан передать Предмет залога и документы Займодавцу в течение [3] дней с даты получения требования об обращении взыскания; при уклонении — неустойка [сумма] руб. за каждый день.</w:t>
      </w:r>
    </w:p>
    <w:p>
      <w:pPr>
        <w:spacing w:after="120" w:line="276" w:lineRule="auto"/>
        <w:jc w:val="center"/>
      </w:pPr>
      <w:r>
        <w:rPr>
          <w:rFonts w:ascii="Times New Roman" w:hAnsi="Times New Roman"/>
          <w:b/>
          <w:i w:val="0"/>
          <w:sz w:val="24"/>
        </w:rPr>
        <w:t>V. Заключительные положения</w:t>
      </w:r>
    </w:p>
    <w:p>
      <w:pPr>
        <w:spacing w:after="120" w:line="276" w:lineRule="auto"/>
        <w:ind w:firstLine="709"/>
        <w:jc w:val="both"/>
      </w:pPr>
      <w:r>
        <w:rPr>
          <w:rFonts w:ascii="Times New Roman" w:hAnsi="Times New Roman"/>
          <w:b w:val="0"/>
          <w:i w:val="0"/>
          <w:sz w:val="24"/>
        </w:rPr>
        <w:t>5.1. Залог прекращается с прекращением обеспеченного обязательства (пункт 4 статьи 329 ГК РФ: «Прекращение основного обязательства влечет прекращение обеспечивающего его обязательства, если иное не предусмотрено законом или договором.»); Займодавец в течение [3] рабочих дней после полного возврата займа направляет нотариусу уведомление об исключении сведений о залоге и возвращает ПТС. 5.2. Пунктом 3 статьи 339 ГК РФ установлено: «Договор залога должен быть заключен в простой письменной форме, если законом или соглашением сторон не установлена нотариальная форма.» 5.3.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жительства ответчика [по месту жительства Займодавца — договорная подсудность].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5.4.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двух экземплярах, имеющих равную юридическую силу, по одному для каждой из Сторон. Во всём, что не предусмотрено Договором, Стороны руководствуются законодательством Российской Федерации. Приложения: № 1 — график возврата; № 2 — расписка о получении Суммы займа; № 3 — акт передачи ПТС; № 4 — копия свидетельства о регистрации уведомления о залоге.</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Займодавец (Залогодержатель): [наименование / Ф. И. О.], [ОГРН/ИНН / паспортные данные], адрес: [__________], тел.: [__________], e-mail: [__________], банковские реквизиты: р/с [__________] в [банк], БИК [__________], к/с [__________]. Заёмщик (Залогодатель):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Займодавец (Залогодержатель):</w:t>
        <w:tab/>
        <w:tab/>
        <w:tab/>
        <w:tab/>
        <w:tab/>
        <w:t>__________________ / [Ф. И. О.]</w:t>
        <w:br/>
        <w:br/>
        <w:t>Заёмщик (Залогодатель):</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Залог автомобиля действует против третьих лиц только после регистрации уведомления у нотариуса (п. 4 ст. 339.1): без записи в реестре ФНП добросовестный покупатель получит машину свободной от залога (подп. 2 п. 1 ст. 352).</w:t>
      </w:r>
    </w:p>
    <w:p>
      <w:pPr>
        <w:spacing w:after="40" w:line="276" w:lineRule="auto"/>
        <w:jc w:val="both"/>
      </w:pPr>
      <w:r>
        <w:rPr>
          <w:rFonts w:ascii="Times New Roman" w:hAnsi="Times New Roman"/>
          <w:b w:val="0"/>
          <w:i/>
          <w:sz w:val="24"/>
        </w:rPr>
        <w:t>— Внесудебное обращение взыскания между гражданами допустимо по соглашению в договоре залога (ст. 350.1), но на практике изъять автомобиль без суда сложно — предусмотрите передачу ПТС и неустойку за уклонение.</w:t>
      </w:r>
    </w:p>
    <w:p>
      <w:pPr>
        <w:spacing w:after="40" w:line="276" w:lineRule="auto"/>
        <w:jc w:val="both"/>
      </w:pPr>
      <w:r>
        <w:rPr>
          <w:rFonts w:ascii="Times New Roman" w:hAnsi="Times New Roman"/>
          <w:b w:val="0"/>
          <w:i/>
          <w:sz w:val="24"/>
        </w:rPr>
        <w:t>— Договор залога должен содержать предмет, существо, размер и срок обеспеченного обязательства (п. 1 ст. 339); при залоге в обеспечение займа удобно объединять оба договора в один документ, как в этом образце.</w:t>
      </w:r>
    </w:p>
    <w:p>
      <w:pPr>
        <w:spacing w:after="40" w:line="276" w:lineRule="auto"/>
        <w:jc w:val="both"/>
      </w:pPr>
      <w:r>
        <w:rPr>
          <w:rFonts w:ascii="Times New Roman" w:hAnsi="Times New Roman"/>
          <w:b w:val="0"/>
          <w:i/>
          <w:sz w:val="24"/>
        </w:rPr>
        <w:t>— Проценты по займу под залог между гражданами также подпадают под правило о ростовщических процентах (п. 5 ст. 809); займодавец-физлицо не может систематически выдавать займы под залог — это деятельность ломбарда и МФО.</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