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изменении основания иска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ходе рассмотрения дела установлены обстоятельства, требующие изменения основания требований: [указать новые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49 Арбитражного процессуального кодекса Российской Федерации истец вправе при рассмотрении дела в арбитражном суде первой инстанции до принятия судебного акта, которым заканчивается рассмотрение дела по существу, изменить основание или предмет иска.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49 Арбитражного процессуального кодекса Российской Федерации, прошу принять изменение основания иска и рассматривать исковые требования исходя из следующего основания: [указать новое основание иска].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новое основание иска]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