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изменении предмета иска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связи с [указать обстоятельства] истец считает необходимым изменить материально-правовое требование.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49 Арбитражного процессуального кодекса Российской Федерации истец вправе при рассмотрении дела в арбитражном суде первой инстанции до принятия судебного акта, которым заканчивается рассмотрение дела по существу, изменить основание или предмет иска.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49 Арбитражного процессуального кодекса Российской Федерации, прошу принять изменение предмета иска и рассматривать исковые требования в следующей редакции: [указать новый предмет иска].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новый предмет иска]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