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предмета иска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[указать обстоятельства] истец считает необходимым изменить материально-правовое требование.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39 Гражданского процессуального кодекса Российской Федерации истец вправе изменить основание или предмет иска.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39 Гражданского процессуального кодекса Российской Федерации, прошу принять изменение предмета иска и рассматривать исковые требования в следующей редакции: [указать новый предмет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новый предмет иска]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