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передаче дела по подсудности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Место нахождения (место жительства) ответчика на момент подачи иска не было известно истцу, в связи с чем дело было принято к производству [наименование арбитражного суда]. В настоящее время установлено, что ответчик находится (проживает) по адресу: [адрес], что относится к юрисдикции [наименование арбитражного суда по новому адресу].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1 части 2 статьи 39 Арбитражного процессуального кодекса Российской Федерации арбитражный суд передает дело на рассмотрение другого арбитражного суда того же уровня в случае, если ответчик, адрес или место жительства которого не было известно ранее, заявит ходатайство о передаче дела в арбитражный суд по его адресу или месту жительства.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39 Арбитражного процессуального кодекса Российской Федерации, прошу передать дело N [значение] по подсудности в [наименование арбитражного суда по месту нахождения ответчика].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место нахождения (место жительства) ответчика]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