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процессуальном правопреемстве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[дата] в правоотношении, являющемся предметом спора, произошло выбытие [Истца/Ответчика] [наименование] в связи с [указать основание], что подтверждается [наименование документа].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48 Арбитражного процессуального кодекса Российской Федерации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Правопреемство возможно на любой стадии арбитражного процесса.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48 Арбитражного процессуального кодекса Российской Федерации, прошу произвести замену [Истца/Ответчика] [наименование выбывшего лица] его правопреемником — [наименование правопреемника].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правопреемство: выписка из ЕГРЮЛ, договор уступки права требования, свидетельство о смерти и т.п.]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