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процессуальном правопреемстве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[дата] в правоотношении, являющемся предметом спора, произошло выбытие [Истца/Ответчика] [наименование] в связи с [указать основание], что подтверждается [наименование документа].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44 Гражданского процессуального кодекса Российской Федерации в случаях выбытия одной из сторон в спорном или установленном решением суда правоотношении (смерть гражданина, реорганизация юридического лица, уступка требования, перевод долга и другие случаи перемены лиц в обязательствах) суд допускает замену этой стороны ее правопреемником. Правопреемство возможно на любой стадии гражданского судопроизводства.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44 Гражданского процессуального кодекса Российской Федерации, прошу произвести замену [Истца/Ответчика] [наименование выбывшего лица] его правопреемником — [наименование правопреемника].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правопреемство: выписка из ЕГРЮЛ, договор уступки права требования, свидетельство о смерти и т.п.]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