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уточнении (увеличении) исковых требований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ходе рассмотрения дела истцом получены дополнительные сведения, изменяющие размер заявленных требований: [указать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49 Арбитражного процессуального кодекса Российской Федерации истец вправе при рассмотрении дела в арбитражном суде первой инстанции до принятия судебного акта, которым заканчивается рассмотрение дела по существу, изменить основание или предмет иска, увеличить или уменьшить размер исковых требований.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49 Арбитражного процессуального кодекса Российской Федерации, прошу принять уточнение исковых требований и рассматривать исковые требования в следующей редакции: [указать новую редакцию требований].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[Расчёт уточнённых требований]</w:t>
      </w:r>
    </w:p>
    <w:p>
      <w:r>
        <w:rPr>
          <w:rFonts w:ascii="Times New Roman" w:hAnsi="Times New Roman"/>
          <w:b w:val="0"/>
          <w:sz w:val="24"/>
        </w:rPr>
        <w:t>[Документы, обосновывающие уточнение требований]</w:t>
      </w:r>
    </w:p>
    <w:p>
      <w:r>
        <w:rPr>
          <w:rFonts w:ascii="Times New Roman" w:hAnsi="Times New Roman"/>
          <w:b w:val="0"/>
          <w:sz w:val="24"/>
        </w:rPr>
        <w:t>[Документ, подтверждающий направление уточнения другим лицам, участвующим в деле]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