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долевого строительства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застройщик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[расходы на устранение недостатков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расходов на устранение недостатков объекта долевого строительства,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участия в долевом строительстве № [номер] от «[дата]» истцу передана квартира по адресу: [адрес] (акт от «[дата]»). Цена договора — [сумма] рублей. Гарантийный срок — [пять лет] [на отделку — __].</w:t>
      </w:r>
    </w:p>
    <w:p>
      <w:pPr>
        <w:spacing w:after="120" w:line="276" w:lineRule="auto"/>
        <w:ind w:firstLine="709"/>
        <w:jc w:val="both"/>
      </w:pPr>
      <w:r>
        <w:rPr>
          <w:rFonts w:ascii="Times New Roman" w:hAnsi="Times New Roman"/>
          <w:b w:val="0"/>
          <w:i w:val="0"/>
          <w:sz w:val="24"/>
        </w:rPr>
        <w:t>В пределах гарантийного срока выявлены недостатки: [неровность стен и пола сверх допусков, промерзание окон, трещины в стяжке, протечки, нарушения при монтаже инженерных систем]. По заключению специалиста от «[дата]» стоимость их устранения — [сумма] рублей. «[дата]» истец потребовал возместить расходы на устранение недостатков [устранить их] (претензия получена «[дата]»). Требование не удовлетворено.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Качество объекта.</w:t>
      </w:r>
      <w:r>
        <w:rPr>
          <w:rFonts w:ascii="Times New Roman" w:hAnsi="Times New Roman"/>
          <w:b w:val="0"/>
          <w:i w:val="0"/>
          <w:sz w:val="24"/>
        </w:rPr>
        <w:t xml:space="preserve"> Частью 1 статьи 7 Федерального закона от 30.12.2004 № 214-ФЗ «Об участии в долевом строительстве многоквартирных домов и иных объектов недвижимости» (далее — Закон № 214-ФЗ) установлено: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Частью 2 той же статьи: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w:t>
      </w:r>
    </w:p>
    <w:p>
      <w:pPr>
        <w:spacing w:after="120" w:line="276" w:lineRule="auto"/>
        <w:ind w:firstLine="709"/>
        <w:jc w:val="both"/>
      </w:pPr>
      <w:r>
        <w:rPr>
          <w:rFonts w:ascii="Times New Roman" w:hAnsi="Times New Roman"/>
          <w:b/>
          <w:i w:val="0"/>
          <w:sz w:val="24"/>
        </w:rPr>
        <w:t>Порядок предъявления требований.</w:t>
      </w:r>
      <w:r>
        <w:rPr>
          <w:rFonts w:ascii="Times New Roman" w:hAnsi="Times New Roman"/>
          <w:b w:val="0"/>
          <w:i w:val="0"/>
          <w:sz w:val="24"/>
        </w:rPr>
        <w:t xml:space="preserve"> Частью 6 статьи 7 Закона № 214-ФЗ: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pPr>
        <w:spacing w:after="120" w:line="276" w:lineRule="auto"/>
        <w:ind w:firstLine="709"/>
        <w:jc w:val="both"/>
      </w:pPr>
      <w:r>
        <w:rPr>
          <w:rFonts w:ascii="Times New Roman" w:hAnsi="Times New Roman"/>
          <w:b/>
          <w:i w:val="0"/>
          <w:sz w:val="24"/>
        </w:rPr>
        <w:t>Основания освобождения застройщика отсутствуют.</w:t>
      </w:r>
      <w:r>
        <w:rPr>
          <w:rFonts w:ascii="Times New Roman" w:hAnsi="Times New Roman"/>
          <w:b w:val="0"/>
          <w:i w:val="0"/>
          <w:sz w:val="24"/>
        </w:rPr>
        <w:t xml:space="preserve"> Частью 7 статьи 7 Закона №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Недостатки носят производственный характер, что подтверждено заключением специалиста.</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Частью 8 статьи 7 Закона № 214-ФЗ: «За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w:t>
      </w:r>
    </w:p>
    <w:p>
      <w:pPr>
        <w:spacing w:after="120" w:line="276" w:lineRule="auto"/>
        <w:ind w:firstLine="709"/>
        <w:jc w:val="both"/>
      </w:pPr>
      <w:r>
        <w:rPr>
          <w:rFonts w:ascii="Times New Roman" w:hAnsi="Times New Roman"/>
          <w:b/>
          <w:i w:val="0"/>
          <w:sz w:val="24"/>
        </w:rPr>
        <w:t>Ограничение размера по отделочным работам.</w:t>
      </w:r>
      <w:r>
        <w:rPr>
          <w:rFonts w:ascii="Times New Roman" w:hAnsi="Times New Roman"/>
          <w:b w:val="0"/>
          <w:i w:val="0"/>
          <w:sz w:val="24"/>
        </w:rPr>
        <w:t xml:space="preserve"> Частью 4 статьи 10 Закона № 214-ФЗ: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[Указать, относятся ли недостатки к отделочным работам; на конструктивные недостатки ограничение не распространяется.]</w:t>
      </w:r>
    </w:p>
    <w:p>
      <w:pPr>
        <w:spacing w:after="120" w:line="276" w:lineRule="auto"/>
        <w:ind w:firstLine="709"/>
        <w:jc w:val="both"/>
      </w:pPr>
      <w:r>
        <w:rPr>
          <w:rFonts w:ascii="Times New Roman" w:hAnsi="Times New Roman"/>
          <w:b/>
          <w:i w:val="0"/>
          <w:sz w:val="24"/>
        </w:rPr>
        <w:t>Моральный вред и штраф.</w:t>
      </w:r>
      <w:r>
        <w:rPr>
          <w:rFonts w:ascii="Times New Roman" w:hAnsi="Times New Roman"/>
          <w:b w:val="0"/>
          <w:i w:val="0"/>
          <w:sz w:val="24"/>
        </w:rPr>
        <w:t xml:space="preserve"> Частью 2 статьи 10 Закона №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Частью 3: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ходатайствует о назначении строительно-технической экспертизы в случае несогласия ответчика со стоимостью устранения недостатков.</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 10 Федерального закона № 214-ФЗ, статьёй 17 Закона РФ «О защите прав потребителей», статьями 29, 56, 79,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расходы на устранение недостатков квартиры в размере [сумма] рублей.</w:t>
      </w:r>
    </w:p>
    <w:p>
      <w:pPr>
        <w:spacing w:after="120" w:line="276" w:lineRule="auto"/>
        <w:ind w:firstLine="709"/>
        <w:jc w:val="both"/>
      </w:pPr>
      <w:r>
        <w:rPr>
          <w:rFonts w:ascii="Times New Roman" w:hAnsi="Times New Roman"/>
          <w:b w:val="0"/>
          <w:i w:val="0"/>
          <w:sz w:val="24"/>
        </w:rPr>
        <w:t>2. Взыскать с ответчика неустойку за нарушение срока удовлетворения требования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5 % от присуждённой суммы.</w:t>
      </w:r>
    </w:p>
    <w:p>
      <w:pPr>
        <w:spacing w:after="120" w:line="276" w:lineRule="auto"/>
        <w:ind w:firstLine="709"/>
        <w:jc w:val="both"/>
      </w:pPr>
      <w:r>
        <w:rPr>
          <w:rFonts w:ascii="Times New Roman" w:hAnsi="Times New Roman"/>
          <w:b w:val="0"/>
          <w:i w:val="0"/>
          <w:sz w:val="24"/>
        </w:rPr>
        <w:t>4. Взыскать с ответчика расходы на заключение специалиста [сумма] рублей и на представителя [сумма] рублей.</w:t>
      </w:r>
    </w:p>
    <w:p>
      <w:pPr>
        <w:spacing w:after="120" w:line="276" w:lineRule="auto"/>
        <w:ind w:firstLine="709"/>
        <w:jc w:val="both"/>
      </w:pPr>
      <w:r>
        <w:rPr>
          <w:rFonts w:ascii="Times New Roman" w:hAnsi="Times New Roman"/>
          <w:b w:val="0"/>
          <w:i w:val="0"/>
          <w:sz w:val="24"/>
        </w:rPr>
        <w:t>5. Назначить по делу строительно-техническую экспертизу [при необходимости].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ДДУ и передаточного акта.</w:t>
      </w:r>
    </w:p>
    <w:p>
      <w:pPr>
        <w:spacing w:after="40" w:line="276" w:lineRule="auto"/>
        <w:jc w:val="left"/>
      </w:pPr>
      <w:r>
        <w:rPr>
          <w:rFonts w:ascii="Times New Roman" w:hAnsi="Times New Roman"/>
          <w:b w:val="0"/>
          <w:i w:val="0"/>
          <w:sz w:val="24"/>
        </w:rPr>
        <w:t>5. Заключение специалиста о недостатках и стоимости их устранения.</w:t>
      </w:r>
    </w:p>
    <w:p>
      <w:pPr>
        <w:spacing w:after="40" w:line="276" w:lineRule="auto"/>
        <w:jc w:val="left"/>
      </w:pPr>
      <w:r>
        <w:rPr>
          <w:rFonts w:ascii="Times New Roman" w:hAnsi="Times New Roman"/>
          <w:b w:val="0"/>
          <w:i w:val="0"/>
          <w:sz w:val="24"/>
        </w:rPr>
        <w:t>6. Фото недостатков.</w:t>
      </w:r>
    </w:p>
    <w:p>
      <w:pPr>
        <w:spacing w:after="40" w:line="276" w:lineRule="auto"/>
        <w:jc w:val="left"/>
      </w:pPr>
      <w:r>
        <w:rPr>
          <w:rFonts w:ascii="Times New Roman" w:hAnsi="Times New Roman"/>
          <w:b w:val="0"/>
          <w:i w:val="0"/>
          <w:sz w:val="24"/>
        </w:rPr>
        <w:t>7. Расчёт неустойки.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недостатки касаются отделки, окон, дверей и сантехники, общая сумма взыскания ограничена 3 % цены договора (ч. 4 ст. 10 Закона № 214-ФЗ); конструктивные дефекты под это ограничение не подпадают — разделите их в заключении.</w:t>
      </w:r>
    </w:p>
    <w:p>
      <w:pPr>
        <w:spacing w:after="40" w:line="276" w:lineRule="auto"/>
        <w:jc w:val="both"/>
      </w:pPr>
      <w:r>
        <w:rPr>
          <w:rFonts w:ascii="Times New Roman" w:hAnsi="Times New Roman"/>
          <w:b w:val="0"/>
          <w:i/>
          <w:sz w:val="24"/>
        </w:rPr>
        <w:t>— Проверьте, не действует ли ограничение (мораторий) на неустойки и штрафы застройщикам на период просрочки — за такие периоды неустойка не начисляется.</w:t>
      </w:r>
    </w:p>
    <w:p>
      <w:pPr>
        <w:spacing w:after="40" w:line="276" w:lineRule="auto"/>
        <w:jc w:val="both"/>
      </w:pPr>
      <w:r>
        <w:rPr>
          <w:rFonts w:ascii="Times New Roman" w:hAnsi="Times New Roman"/>
          <w:b w:val="0"/>
          <w:i/>
          <w:sz w:val="24"/>
        </w:rPr>
        <w:t>— Требования по качеству предъявляются в пределах гарантийного срока: пять лет на объект, три года на инженерное оборудование, отдельный срок на отделку по договору.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