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бывший клиент банка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[удержанная комиссия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неосновательно удержанной комиссии за перевод остатка денежных средств при расторжении договора банковского счёта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имел в банке ответчика расчётный счёт № [__] по договору банковского счёта от «[дата]» № [__]. «[дата]» ответчик [ограничил дистанционное обслуживание / запросил документы со ссылкой на Федеральный закон от 07.08.2001 № 115-ФЗ], и «[дата]» истец подал заявление о расторжении договора и перечислении остатка [сумма] рублей на счёт в другом банке.</w:t>
      </w:r>
    </w:p>
    <w:p>
      <w:pPr>
        <w:spacing w:after="120" w:line="276" w:lineRule="auto"/>
        <w:ind w:firstLine="709"/>
        <w:jc w:val="both"/>
      </w:pPr>
      <w:r>
        <w:rPr>
          <w:rFonts w:ascii="Times New Roman" w:hAnsi="Times New Roman"/>
          <w:b w:val="0"/>
          <w:i w:val="0"/>
          <w:sz w:val="24"/>
        </w:rPr>
        <w:t>Ответчик перечислил остаток за вычетом комиссии [__] % — [сумма] рублей, сославшись на тариф за «перевод остатка при закрытии счёта клиента, в отношении которого применялись меры по 115-ФЗ». Документы, которые истец представил по запросу банка, подтверждали экономический смысл операций; решений об отказе в проведении операций истцу не направлялось [решение отменено межведомственной комиссией Банка России].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банковского счёта.</w:t>
      </w:r>
      <w:r>
        <w:rPr>
          <w:rFonts w:ascii="Times New Roman" w:hAnsi="Times New Roman"/>
          <w:b w:val="0"/>
          <w:i w:val="0"/>
          <w:sz w:val="24"/>
        </w:rPr>
        <w:t xml:space="preserve"> Пунктом 1 статьи 845 Гражданского кодекса Российской Федерации (далее — ГК РФ) установлено: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Согласно пункту 3 той же статьи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pPr>
        <w:spacing w:after="120" w:line="276" w:lineRule="auto"/>
        <w:ind w:firstLine="709"/>
        <w:jc w:val="both"/>
      </w:pPr>
      <w:r>
        <w:rPr>
          <w:rFonts w:ascii="Times New Roman" w:hAnsi="Times New Roman"/>
          <w:b/>
          <w:i w:val="0"/>
          <w:sz w:val="24"/>
        </w:rPr>
        <w:t>Право клиента расторгнуть договор.</w:t>
      </w:r>
      <w:r>
        <w:rPr>
          <w:rFonts w:ascii="Times New Roman" w:hAnsi="Times New Roman"/>
          <w:b w:val="0"/>
          <w:i w:val="0"/>
          <w:sz w:val="24"/>
        </w:rPr>
        <w:t xml:space="preserve"> Пунктом 1 статьи 859 ГК РФ установлено: «Договор банковского счета расторгается по заявлению клиента в любое время.» Согласно пункту 5 той же статьи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пунктом 3 статьи 858 настоящего Кодекса.» Выдача остатка — обязанность банка, вытекающая из расторжения договора, а не самостоятельная услуга клиенту.</w:t>
      </w:r>
    </w:p>
    <w:p>
      <w:pPr>
        <w:spacing w:after="120" w:line="276" w:lineRule="auto"/>
        <w:ind w:firstLine="709"/>
        <w:jc w:val="both"/>
      </w:pPr>
      <w:r>
        <w:rPr>
          <w:rFonts w:ascii="Times New Roman" w:hAnsi="Times New Roman"/>
          <w:b/>
          <w:i w:val="0"/>
          <w:sz w:val="24"/>
        </w:rPr>
        <w:t>Плата за услуги банка.</w:t>
      </w:r>
      <w:r>
        <w:rPr>
          <w:rFonts w:ascii="Times New Roman" w:hAnsi="Times New Roman"/>
          <w:b w:val="0"/>
          <w:i w:val="0"/>
          <w:sz w:val="24"/>
        </w:rPr>
        <w:t xml:space="preserve"> Пунктом 1 статьи 851 ГК РФ предусмотрено: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 Комиссия может взиматься только за услугу, создающую для клиента самостоятельное благо. Повышенная комиссия, не связанная с фактическими затратами банка на операцию, является мерой ответственности, установленной банком в одностороннем порядке, и противоречит пункту 3 статьи 845 ГК РФ, запрещающему не предусмотренные законом ограничения права клиента распоряжаться деньгами.</w:t>
      </w:r>
    </w:p>
    <w:p>
      <w:pPr>
        <w:spacing w:after="120" w:line="276" w:lineRule="auto"/>
        <w:ind w:firstLine="709"/>
        <w:jc w:val="both"/>
      </w:pPr>
      <w:r>
        <w:rPr>
          <w:rFonts w:ascii="Times New Roman" w:hAnsi="Times New Roman"/>
          <w:b/>
          <w:i w:val="0"/>
          <w:sz w:val="24"/>
        </w:rPr>
        <w:t>Недопустимость одностороннего изменения условий.</w:t>
      </w:r>
      <w:r>
        <w:rPr>
          <w:rFonts w:ascii="Times New Roman" w:hAnsi="Times New Roman"/>
          <w:b w:val="0"/>
          <w:i w:val="0"/>
          <w:sz w:val="24"/>
        </w:rPr>
        <w:t xml:space="preserve">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Тариф о заградительной комиссии введён [после заключения договора / в одностороннем порядке].</w:t>
      </w:r>
    </w:p>
    <w:p>
      <w:pPr>
        <w:spacing w:after="120" w:line="276" w:lineRule="auto"/>
        <w:ind w:firstLine="709"/>
        <w:jc w:val="both"/>
      </w:pPr>
      <w:r>
        <w:rPr>
          <w:rFonts w:ascii="Times New Roman" w:hAnsi="Times New Roman"/>
          <w:b/>
          <w:i w:val="0"/>
          <w:sz w:val="24"/>
        </w:rPr>
        <w:t>Возврат удержанного.</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Статьёй 856 ГК РФ установлено: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w:t>
      </w:r>
    </w:p>
    <w:p>
      <w:pPr>
        <w:spacing w:after="120" w:line="276" w:lineRule="auto"/>
        <w:ind w:firstLine="709"/>
        <w:jc w:val="both"/>
      </w:pPr>
      <w:r>
        <w:rPr>
          <w:rFonts w:ascii="Times New Roman" w:hAnsi="Times New Roman"/>
          <w:b/>
          <w:i w:val="0"/>
          <w:sz w:val="24"/>
        </w:rPr>
        <w:t>Соразмерность.</w:t>
      </w:r>
      <w:r>
        <w:rPr>
          <w:rFonts w:ascii="Times New Roman" w:hAnsi="Times New Roman"/>
          <w:b w:val="0"/>
          <w:i w:val="0"/>
          <w:sz w:val="24"/>
        </w:rPr>
        <w:t xml:space="preserve"> Обычная комиссия банка за аналогичный перевод составляет [сумма] рублей; удержанная сумма превышает её в [__] раз. Даже если считать тариф действительным, разница является неосновательным обогащением.</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удержанную комиссию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310, 845, 851, 856, 859, 1102,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неосновательно удержанную комиссию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фактического возврата.</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банковского счёта и тарифы (в редакции на дату заключения и на дату удержания).</w:t>
      </w:r>
    </w:p>
    <w:p>
      <w:pPr>
        <w:spacing w:after="40" w:line="276" w:lineRule="auto"/>
        <w:jc w:val="left"/>
      </w:pPr>
      <w:r>
        <w:rPr>
          <w:rFonts w:ascii="Times New Roman" w:hAnsi="Times New Roman"/>
          <w:b w:val="0"/>
          <w:i w:val="0"/>
          <w:sz w:val="24"/>
        </w:rPr>
        <w:t>4. Запросы банка и ответы истца с документами по операциям.</w:t>
      </w:r>
    </w:p>
    <w:p>
      <w:pPr>
        <w:spacing w:after="40" w:line="276" w:lineRule="auto"/>
        <w:jc w:val="left"/>
      </w:pPr>
      <w:r>
        <w:rPr>
          <w:rFonts w:ascii="Times New Roman" w:hAnsi="Times New Roman"/>
          <w:b w:val="0"/>
          <w:i w:val="0"/>
          <w:sz w:val="24"/>
        </w:rPr>
        <w:t>5. Заявление о расторжении договора и переводе остатка; выписка по счёту с удержанием комиссии.</w:t>
      </w:r>
    </w:p>
    <w:p>
      <w:pPr>
        <w:spacing w:after="40" w:line="276" w:lineRule="auto"/>
        <w:jc w:val="left"/>
      </w:pPr>
      <w:r>
        <w:rPr>
          <w:rFonts w:ascii="Times New Roman" w:hAnsi="Times New Roman"/>
          <w:b w:val="0"/>
          <w:i w:val="0"/>
          <w:sz w:val="24"/>
        </w:rPr>
        <w:t>6. Сведения о стандартной комиссии за перевод; расчёт цены иска.</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взыскивают заградительные комиссии, когда клиент представил банку документы, а банк не доказал реальных признаков сомнительных операций. Если клиент проигнорировал запросы банка, шансы ниже.</w:t>
      </w:r>
    </w:p>
    <w:p>
      <w:pPr>
        <w:spacing w:after="40" w:line="276" w:lineRule="auto"/>
        <w:jc w:val="both"/>
      </w:pPr>
      <w:r>
        <w:rPr>
          <w:rFonts w:ascii="Times New Roman" w:hAnsi="Times New Roman"/>
          <w:b w:val="0"/>
          <w:i/>
          <w:sz w:val="24"/>
        </w:rPr>
        <w:t>— Решение банка об отказе в операции по 115-ФЗ можно оспорить в межведомственной комиссии Банка России — положительное решение комиссии сильно помогает в суде.</w:t>
      </w:r>
    </w:p>
    <w:p>
      <w:pPr>
        <w:spacing w:after="40" w:line="276" w:lineRule="auto"/>
        <w:jc w:val="both"/>
      </w:pPr>
      <w:r>
        <w:rPr>
          <w:rFonts w:ascii="Times New Roman" w:hAnsi="Times New Roman"/>
          <w:b w:val="0"/>
          <w:i/>
          <w:sz w:val="24"/>
        </w:rPr>
        <w:t>— Сохраните редакцию тарифов на дату открытия счёта: односторонне введённая позже комиссия оспаривается легче.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