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лизингополучатель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 предмета лизинга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Третье лицо (лизингодатель):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[расходы на устранение недостатков / уменьшение цены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расходов на устранение недостатков предмета лизинга и убытков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лизинга от «[дата]» № [__] третье лицо (лизингодатель) по выбору истца приобрело у ответчика по договору купли-продажи от «[дата]» № [__] [наименование оборудования / транспортного средства] и передало его истцу. Ответчик установил гарантийный срок — [__] месяцев.</w:t>
      </w:r>
    </w:p>
    <w:p>
      <w:pPr>
        <w:spacing w:after="120" w:line="276" w:lineRule="auto"/>
        <w:ind w:firstLine="709"/>
        <w:jc w:val="both"/>
      </w:pPr>
      <w:r>
        <w:rPr>
          <w:rFonts w:ascii="Times New Roman" w:hAnsi="Times New Roman"/>
          <w:b w:val="0"/>
          <w:i w:val="0"/>
          <w:sz w:val="24"/>
        </w:rPr>
        <w:t>В пределах гарантийного срока выявлены недостатки: [описание]. Истец уведомил ответчика и лизингодателя «[дата]», составлен акт [рекламационный акт] от «[дата]». Ответчик недостатки в разумный срок не устранил. Истец устранил их силами [сервисной организации] за [сумма] рублей; простой оборудования повлёк убытки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лизинга.</w:t>
      </w:r>
      <w:r>
        <w:rPr>
          <w:rFonts w:ascii="Times New Roman" w:hAnsi="Times New Roman"/>
          <w:b w:val="0"/>
          <w:i w:val="0"/>
          <w:sz w:val="24"/>
        </w:rPr>
        <w:t xml:space="preserve"> Статьёй 665 Гражданского кодекса Российской Федерации (далее — ГК РФ) установлено: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Аналогичное определение содержит абзац третий статьи 2 Федерального закона от 29.10.1998 № 164-ФЗ «О финансовой аренде (лизинге)» (далее — Закон о лизинге): «договор лизинга - договор, в соответствии с которым арендодатель (далее - лизингодатель) обязуется приобрести в собственность указанное арендатором (далее - лизингополучатель) имущество у определенного им продавца и предоставить лизингополучателю это имущество за плату во временное владение и пользование. Договором лизинга может быть предусмотрено, что выбор продавца и приобретаемого имущества осуществляется лизингодателем»</w:t>
      </w:r>
    </w:p>
    <w:p>
      <w:pPr>
        <w:spacing w:after="120" w:line="276" w:lineRule="auto"/>
        <w:ind w:firstLine="709"/>
        <w:jc w:val="both"/>
      </w:pPr>
      <w:r>
        <w:rPr>
          <w:rFonts w:ascii="Times New Roman" w:hAnsi="Times New Roman"/>
          <w:b/>
          <w:i w:val="0"/>
          <w:sz w:val="24"/>
        </w:rPr>
        <w:t>Право лизингополучателя предъявлять требования к продавцу.</w:t>
      </w:r>
      <w:r>
        <w:rPr>
          <w:rFonts w:ascii="Times New Roman" w:hAnsi="Times New Roman"/>
          <w:b w:val="0"/>
          <w:i w:val="0"/>
          <w:sz w:val="24"/>
        </w:rPr>
        <w:t xml:space="preserve"> Пунктом 1 статьи 670 ГК РФ установлено: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 «В отношениях с продавцом арендатор и арендодатель выступают как солидарные кредиторы (статья 326).» Согласно пункту 2 той же статьи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pPr>
        <w:spacing w:after="120" w:line="276" w:lineRule="auto"/>
        <w:ind w:firstLine="709"/>
        <w:jc w:val="both"/>
      </w:pPr>
      <w:r>
        <w:rPr>
          <w:rFonts w:ascii="Times New Roman" w:hAnsi="Times New Roman"/>
          <w:b/>
          <w:i w:val="0"/>
          <w:sz w:val="24"/>
        </w:rPr>
        <w:t>Риски выбора продавца.</w:t>
      </w:r>
      <w:r>
        <w:rPr>
          <w:rFonts w:ascii="Times New Roman" w:hAnsi="Times New Roman"/>
          <w:b w:val="0"/>
          <w:i w:val="0"/>
          <w:sz w:val="24"/>
        </w:rPr>
        <w:t xml:space="preserve"> Пунктом 2 статьи 22 Закона о лизинге предусмотрено: «Риск невыполнения продавцом обязанностей по договору купли-продажи предмета лизинга и связанные с этим убытки несет сторона договора лизинга, которая выбрала продавца, если иное не предусмотрено договором лизинга.» Продавец выбран истцом, поэтому требования предъявляются непосредственно к продавцу.</w:t>
      </w:r>
    </w:p>
    <w:p>
      <w:pPr>
        <w:spacing w:after="120" w:line="276" w:lineRule="auto"/>
        <w:ind w:firstLine="709"/>
        <w:jc w:val="both"/>
      </w:pPr>
      <w:r>
        <w:rPr>
          <w:rFonts w:ascii="Times New Roman" w:hAnsi="Times New Roman"/>
          <w:b/>
          <w:i w:val="0"/>
          <w:sz w:val="24"/>
        </w:rPr>
        <w:t>Качество товара и ответственность продавца.</w:t>
      </w:r>
      <w:r>
        <w:rPr>
          <w:rFonts w:ascii="Times New Roman" w:hAnsi="Times New Roman"/>
          <w:b w:val="0"/>
          <w:i w:val="0"/>
          <w:sz w:val="24"/>
        </w:rPr>
        <w:t xml:space="preserve"> Пунктом 1 статьи 469 ГК РФ установлено: «Продавец обязан передать покупателю товар, качество которого соответствует договору купли-продажи.» Согласно пункту 2 статьи 476 ГК РФ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Пунктом 1 статьи 475 ГК РФ предусмотрено: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расходы на устранение недостатков и убытки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22 Федерального закона «О финансовой аренде (лизинге)», статьями 15, 393, 401, 469, 475, 476, 665, 670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расходы на устранение недостатков предмета лизинга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убытки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лизинга; договор купли-продажи между лизингодателем и продавцом; гарантийные документы.</w:t>
      </w:r>
    </w:p>
    <w:p>
      <w:pPr>
        <w:spacing w:after="40" w:line="276" w:lineRule="auto"/>
        <w:jc w:val="left"/>
      </w:pPr>
      <w:r>
        <w:rPr>
          <w:rFonts w:ascii="Times New Roman" w:hAnsi="Times New Roman"/>
          <w:b w:val="0"/>
          <w:i w:val="0"/>
          <w:sz w:val="24"/>
        </w:rPr>
        <w:t>4. Акт приёма-передачи предмета лизинга; уведомления о недостатках, рекламационный акт.</w:t>
      </w:r>
    </w:p>
    <w:p>
      <w:pPr>
        <w:spacing w:after="40" w:line="276" w:lineRule="auto"/>
        <w:jc w:val="left"/>
      </w:pPr>
      <w:r>
        <w:rPr>
          <w:rFonts w:ascii="Times New Roman" w:hAnsi="Times New Roman"/>
          <w:b w:val="0"/>
          <w:i w:val="0"/>
          <w:sz w:val="24"/>
        </w:rPr>
        <w:t>5. Документы о расходах на устранение недостатков и убытках; заключение специалиста.</w:t>
      </w:r>
    </w:p>
    <w:p>
      <w:pPr>
        <w:spacing w:after="40" w:line="276" w:lineRule="auto"/>
        <w:jc w:val="left"/>
      </w:pPr>
      <w:r>
        <w:rPr>
          <w:rFonts w:ascii="Times New Roman" w:hAnsi="Times New Roman"/>
          <w:b w:val="0"/>
          <w:i w:val="0"/>
          <w:sz w:val="24"/>
        </w:rPr>
        <w:t>6. Доказательства направления копии иска лизингодателю (третьему лицу).</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Лизингополучатель не может без согласия лизингодателя расторгнуть договор купли-продажи с продавцом (п. 1 ст. 670 ГК РФ). Требование о возврате денег за товар заявляйте только с согласия лизингодателя.</w:t>
      </w:r>
    </w:p>
    <w:p>
      <w:pPr>
        <w:spacing w:after="40" w:line="276" w:lineRule="auto"/>
        <w:jc w:val="both"/>
      </w:pPr>
      <w:r>
        <w:rPr>
          <w:rFonts w:ascii="Times New Roman" w:hAnsi="Times New Roman"/>
          <w:b w:val="0"/>
          <w:i/>
          <w:sz w:val="24"/>
        </w:rPr>
        <w:t>— Лизингодатель и лизингополучатель — солидарные кредиторы продавца; привлеките лизингодателя третьим лицом, чтобы исключить повторное взыскание.</w:t>
      </w:r>
    </w:p>
    <w:p>
      <w:pPr>
        <w:spacing w:after="40" w:line="276" w:lineRule="auto"/>
        <w:jc w:val="both"/>
      </w:pPr>
      <w:r>
        <w:rPr>
          <w:rFonts w:ascii="Times New Roman" w:hAnsi="Times New Roman"/>
          <w:b w:val="0"/>
          <w:i/>
          <w:sz w:val="24"/>
        </w:rPr>
        <w:t>— Подсудность определяется по договору купли-продажи (по месту продавца или по оговорке в договоре), а не по договору лизинга.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