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арбитражный суд — при споре между организациями]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(уполномоченный общим собранием) / ТСЖ / новая управляющая организация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прежняя управляющая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неизрасходованных средств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неизрасходованных денежных средств собственников (неосновательного обогащения)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управлял многоквартирным домом по адресу: [адрес] с «[дата]» по «[дата]». Договор управления прекращён [решением общего собрания от «[дата]»], управление осуществляет [истец / новая УК].</w:t>
      </w:r>
    </w:p>
    <w:p>
      <w:pPr>
        <w:spacing w:after="120" w:line="276" w:lineRule="auto"/>
        <w:ind w:firstLine="709"/>
        <w:jc w:val="both"/>
      </w:pPr>
      <w:r>
        <w:rPr>
          <w:rFonts w:ascii="Times New Roman" w:hAnsi="Times New Roman"/>
          <w:b w:val="0"/>
          <w:i w:val="0"/>
          <w:sz w:val="24"/>
        </w:rPr>
        <w:t>За период управления собственники внесли ответчику плату за содержание и текущий ремонт общего имущества в размере [сумма] рублей; по данным отчётов ответчика [данным ГИС ЖКХ, заключению специалиста] на работы по содержанию и ремонту израсходовано [сумма] рублей. Неизрасходованный остаток — [сумма] рублей [доходы от сдачи в аренду общего имущества — [сумма] рублей]. Требование о перечислении средств от «[дата]» не исполнено.</w:t>
      </w:r>
    </w:p>
    <w:p>
      <w:pPr>
        <w:spacing w:after="120" w:line="276" w:lineRule="auto"/>
        <w:ind w:firstLine="709"/>
        <w:jc w:val="both"/>
      </w:pPr>
      <w:r>
        <w:rPr>
          <w:rFonts w:ascii="Times New Roman" w:hAnsi="Times New Roman"/>
          <w:b w:val="0"/>
          <w:i w:val="0"/>
          <w:sz w:val="24"/>
        </w:rPr>
        <w:t>Решением общего собрания (протокол от «[дата]») [истец уполномочен на взыскание этих средств / средства постановлено перечислить новой управляющей организации на ремонт дома].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Статьёй 1103 ГК РФ правила главы 60 применяются к требованиям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i w:val="0"/>
          <w:sz w:val="24"/>
        </w:rPr>
        <w:t>Целевой характер платы.</w:t>
      </w:r>
      <w:r>
        <w:rPr>
          <w:rFonts w:ascii="Times New Roman" w:hAnsi="Times New Roman"/>
          <w:b w:val="0"/>
          <w:i w:val="0"/>
          <w:sz w:val="24"/>
        </w:rPr>
        <w:t xml:space="preserve"> Частью 1 статьи 39 ЖК РФ: «Собственники помещений в многоквартирном доме несут бремя расходов на содержание общего имущества в многоквартирном доме.»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После прекращения договора у ответчика отпало основание удерживать средства собственников, не израсходованные на содержание и ремонт их дома.</w:t>
      </w:r>
    </w:p>
    <w:p>
      <w:pPr>
        <w:spacing w:after="120" w:line="276" w:lineRule="auto"/>
        <w:ind w:firstLine="709"/>
        <w:jc w:val="both"/>
      </w:pPr>
      <w:r>
        <w:rPr>
          <w:rFonts w:ascii="Times New Roman" w:hAnsi="Times New Roman"/>
          <w:b/>
          <w:i w:val="0"/>
          <w:sz w:val="24"/>
        </w:rPr>
        <w:t>Отчёт — доказательство расходов.</w:t>
      </w:r>
      <w:r>
        <w:rPr>
          <w:rFonts w:ascii="Times New Roman" w:hAnsi="Times New Roman"/>
          <w:b w:val="0"/>
          <w:i w:val="0"/>
          <w:sz w:val="24"/>
        </w:rPr>
        <w:t xml:space="preserve"> Частью 10.1 статьи 161 ЖК РФ: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перечень сведений, обязательных для отражения в отчете о деятельности по управлению многоквартирным домом, и форма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 Бремя доказывания расходования средств на содержание и ремонт дома лежит на ответчике.</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просит истребовать у ответчика отчёты, акты выполненных работ и сведения о поступлении платы за спорный период.</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 три года с момента прекращения договора управления (ст. 196, 200 ГК РФ): «Общий срок исковой давности составляет три года со дня, определяемого в соответствии со статьей 200 настоящего Кодекса.»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(адресу) ответчика: статьёй 28 ГПК РФ установлено, что «Иск предъявляется в суд по месту жительства ответчика. Иск к организации предъявляется в суд по адресу организации.»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 161, 162 ЖК РФ, статьями 395, 1102, 1103, 1107 ГК РФ, статьями 28, 56, 57,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 собственников в лице __ / на счёт новой управляющей организации] неизрасходованные денежные средства собственников помещений многоквартирного дома по адресу [адрес] в размере [сумма] рублей.</w:t>
      </w:r>
    </w:p>
    <w:p>
      <w:pPr>
        <w:spacing w:after="120" w:line="276" w:lineRule="auto"/>
        <w:ind w:firstLine="709"/>
        <w:jc w:val="both"/>
      </w:pPr>
      <w:r>
        <w:rPr>
          <w:rFonts w:ascii="Times New Roman" w:hAnsi="Times New Roman"/>
          <w:b w:val="0"/>
          <w:i w:val="0"/>
          <w:sz w:val="24"/>
        </w:rPr>
        <w:t>2. Взыскать с ответчика проценты за пользование чужими денежными средствами с «[дата]» по «[дата]» в размере [сумма] рублей и далее по день возврата.</w:t>
      </w:r>
    </w:p>
    <w:p>
      <w:pPr>
        <w:spacing w:after="120" w:line="276" w:lineRule="auto"/>
        <w:ind w:firstLine="709"/>
        <w:jc w:val="both"/>
      </w:pPr>
      <w:r>
        <w:rPr>
          <w:rFonts w:ascii="Times New Roman" w:hAnsi="Times New Roman"/>
          <w:b w:val="0"/>
          <w:i w:val="0"/>
          <w:sz w:val="24"/>
        </w:rPr>
        <w:t>3. Истребовать у ответчика отчёты о выполнении договора управления, акты выполненных работ и сведения о начислениях и поступлениях за период управления.</w:t>
      </w:r>
    </w:p>
    <w:p>
      <w:pPr>
        <w:spacing w:after="120" w:line="276" w:lineRule="auto"/>
        <w:ind w:firstLine="709"/>
        <w:jc w:val="both"/>
      </w:pPr>
      <w:r>
        <w:rPr>
          <w:rFonts w:ascii="Times New Roman" w:hAnsi="Times New Roman"/>
          <w:b w:val="0"/>
          <w:i w:val="0"/>
          <w:sz w:val="24"/>
        </w:rPr>
        <w:t>4. Взыскать с ответчика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иска ответчику.</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Протоколы общих собраний (о прекращении договора, о полномочиях истца, о судьбе неизрасходованных средств).</w:t>
      </w:r>
    </w:p>
    <w:p>
      <w:pPr>
        <w:spacing w:after="40" w:line="276" w:lineRule="auto"/>
        <w:jc w:val="left"/>
      </w:pPr>
      <w:r>
        <w:rPr>
          <w:rFonts w:ascii="Times New Roman" w:hAnsi="Times New Roman"/>
          <w:b w:val="0"/>
          <w:i w:val="0"/>
          <w:sz w:val="24"/>
        </w:rPr>
        <w:t>4. Отчёты ответчика / данные ГИС ЖКХ о начислениях и расходах; заключение специалиста [если есть].</w:t>
      </w:r>
    </w:p>
    <w:p>
      <w:pPr>
        <w:spacing w:after="40" w:line="276" w:lineRule="auto"/>
        <w:jc w:val="left"/>
      </w:pPr>
      <w:r>
        <w:rPr>
          <w:rFonts w:ascii="Times New Roman" w:hAnsi="Times New Roman"/>
          <w:b w:val="0"/>
          <w:i w:val="0"/>
          <w:sz w:val="24"/>
        </w:rPr>
        <w:t>5. Требование о перечислении средств и доказательство вручения.</w:t>
      </w:r>
    </w:p>
    <w:p>
      <w:pPr>
        <w:spacing w:after="40" w:line="276" w:lineRule="auto"/>
        <w:jc w:val="left"/>
      </w:pPr>
      <w:r>
        <w:rPr>
          <w:rFonts w:ascii="Times New Roman" w:hAnsi="Times New Roman"/>
          <w:b w:val="0"/>
          <w:i w:val="0"/>
          <w:sz w:val="24"/>
        </w:rPr>
        <w:t>6. Расчёт неосновательного обогащения и процентов.</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неоднозначно решают, кто вправе взыскивать остатки: надёжнее, когда общее собрание прямо уполномочило истца и определило, куда направить средства.</w:t>
      </w:r>
    </w:p>
    <w:p>
      <w:pPr>
        <w:spacing w:after="40" w:line="276" w:lineRule="auto"/>
        <w:jc w:val="both"/>
      </w:pPr>
      <w:r>
        <w:rPr>
          <w:rFonts w:ascii="Times New Roman" w:hAnsi="Times New Roman"/>
          <w:b w:val="0"/>
          <w:i/>
          <w:sz w:val="24"/>
        </w:rPr>
        <w:t>— Если истец и ответчик — организации, спор подсуден арбитражному суду.</w:t>
      </w:r>
    </w:p>
    <w:p>
      <w:pPr>
        <w:spacing w:after="40" w:line="276" w:lineRule="auto"/>
        <w:jc w:val="both"/>
      </w:pPr>
      <w:r>
        <w:rPr>
          <w:rFonts w:ascii="Times New Roman" w:hAnsi="Times New Roman"/>
          <w:b w:val="0"/>
          <w:i/>
          <w:sz w:val="24"/>
        </w:rPr>
        <w:t>— Расходы ответчика проверяйте по актам выполненных работ — «отчёты» без первичных документов суд вправе не принять.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