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помещения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фактический пользователь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[сбережённая плата за пользование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неосновательного обогащения в виде сбережённой платы за пользование нежилым помещением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на праве собственности принадлежит нежилое помещение площадью [__] кв. м по адресу [__], кадастровый номер [__] (выписка из ЕГРН от «[дата]»).</w:t>
      </w:r>
    </w:p>
    <w:p>
      <w:pPr>
        <w:spacing w:after="120" w:line="276" w:lineRule="auto"/>
        <w:ind w:firstLine="709"/>
        <w:jc w:val="both"/>
      </w:pPr>
      <w:r>
        <w:rPr>
          <w:rFonts w:ascii="Times New Roman" w:hAnsi="Times New Roman"/>
          <w:b w:val="0"/>
          <w:i w:val="0"/>
          <w:sz w:val="24"/>
        </w:rPr>
        <w:t>В период с «[дата]» по «[дата]» ответчик пользовался помещением [__ кв. м] без договора [договор аренды не заключён / договор аренды на срок более года не прошёл государственную регистрацию и признан незаключённым решением суда по делу № [__] / договор прекратился, но ответчик продолжал пользование]. Факт пользования подтверждается [актами осмотра, размещением вывески и оборудования ответчика, сведениями ЕГРЮЛ об адресе ответчика, кассовыми чеками, перепиской].</w:t>
      </w:r>
    </w:p>
    <w:p>
      <w:pPr>
        <w:spacing w:after="120" w:line="276" w:lineRule="auto"/>
        <w:ind w:firstLine="709"/>
        <w:jc w:val="both"/>
      </w:pPr>
      <w:r>
        <w:rPr>
          <w:rFonts w:ascii="Times New Roman" w:hAnsi="Times New Roman"/>
          <w:b w:val="0"/>
          <w:i w:val="0"/>
          <w:sz w:val="24"/>
        </w:rPr>
        <w:t>Плату за пользование ответчик не вносил [вносил частично — [сумма] рублей]. Рыночная ставка арендной платы за аналогичные помещения в этом районе за спорный период составляет [сумма] рублей за кв. м в месяц (отчёт оценщика от «[дата]» № [__]). Размер сбережённой ответчиком платы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Согласно статье 608 Гражданского кодекса Российской Федерации (далее — ГК РФ) «Право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 Истец является собственником помещения и вправе получать плату за пользование им.</w:t>
      </w:r>
    </w:p>
    <w:p>
      <w:pPr>
        <w:spacing w:after="120" w:line="276" w:lineRule="auto"/>
        <w:ind w:firstLine="709"/>
        <w:jc w:val="both"/>
      </w:pPr>
      <w:r>
        <w:rPr>
          <w:rFonts w:ascii="Times New Roman" w:hAnsi="Times New Roman"/>
          <w:b/>
          <w:i w:val="0"/>
          <w:sz w:val="24"/>
        </w:rPr>
        <w:t>Отсутствие договорного основания.</w:t>
      </w:r>
      <w:r>
        <w:rPr>
          <w:rFonts w:ascii="Times New Roman" w:hAnsi="Times New Roman"/>
          <w:b w:val="0"/>
          <w:i w:val="0"/>
          <w:sz w:val="24"/>
        </w:rPr>
        <w:t xml:space="preserve"> [Если договор не зарегистрирован:] Пунктом 2 статьи 651 ГК РФ установлено: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 [Если договор не заключён из-за несогласованной цены:] Пунктом 1 статьи 654 ГК РФ предусмотрено: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статьи 1105 ГК РФ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Таким образом, ответчик обязан возместить истцу плату, которую он должен был бы внести за пользование помещением по рыночным ставкам.</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пользуясь чужим помещением без договора и без оплаты, знал о неосновательности сбережения с начала пользования. Проценты по статье 395 ГК РФ за период с «[дата]» по «[дата]» составляют [сумма] рублей.</w:t>
      </w:r>
    </w:p>
    <w:p>
      <w:pPr>
        <w:spacing w:after="120" w:line="276" w:lineRule="auto"/>
        <w:ind w:firstLine="709"/>
        <w:jc w:val="both"/>
      </w:pPr>
      <w:r>
        <w:rPr>
          <w:rFonts w:ascii="Times New Roman" w:hAnsi="Times New Roman"/>
          <w:b/>
          <w:i w:val="0"/>
          <w:sz w:val="24"/>
        </w:rPr>
        <w:t>Отсутствие оснований для отказа в возврате.</w:t>
      </w:r>
      <w:r>
        <w:rPr>
          <w:rFonts w:ascii="Times New Roman" w:hAnsi="Times New Roman"/>
          <w:b w:val="0"/>
          <w:i w:val="0"/>
          <w:sz w:val="24"/>
        </w:rPr>
        <w:t xml:space="preserve"> Обстоятельства, перечисленные в статье 1109 ГК РФ, отсутствуют: истец не предоставлял помещение безвозмездно и в целях благотворительности.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пользование помещением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1 статьи 200 ГК РФ установлено: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Требование заявлено за период в пределах трёх лет до подачи иска.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608, 651, 654, 1102, 1105,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неосновательное обогащение в виде сбережённой платы за пользование нежилым помещением по адресу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Выписка из ЕГРН о праве собственности истца на помещение.</w:t>
      </w:r>
    </w:p>
    <w:p>
      <w:pPr>
        <w:spacing w:after="40" w:line="276" w:lineRule="auto"/>
        <w:jc w:val="left"/>
      </w:pPr>
      <w:r>
        <w:rPr>
          <w:rFonts w:ascii="Times New Roman" w:hAnsi="Times New Roman"/>
          <w:b w:val="0"/>
          <w:i w:val="0"/>
          <w:sz w:val="24"/>
        </w:rPr>
        <w:t>4. Доказательства пользования помещением ответчиком (акты осмотра, фото вывески, выписка из ЕГРЮЛ, переписка).</w:t>
      </w:r>
    </w:p>
    <w:p>
      <w:pPr>
        <w:spacing w:after="40" w:line="276" w:lineRule="auto"/>
        <w:jc w:val="left"/>
      </w:pPr>
      <w:r>
        <w:rPr>
          <w:rFonts w:ascii="Times New Roman" w:hAnsi="Times New Roman"/>
          <w:b w:val="0"/>
          <w:i w:val="0"/>
          <w:sz w:val="24"/>
        </w:rPr>
        <w:t>5. Проект договора / незарегистрированный договор [если есть].</w:t>
      </w:r>
    </w:p>
    <w:p>
      <w:pPr>
        <w:spacing w:after="40" w:line="276" w:lineRule="auto"/>
        <w:jc w:val="left"/>
      </w:pPr>
      <w:r>
        <w:rPr>
          <w:rFonts w:ascii="Times New Roman" w:hAnsi="Times New Roman"/>
          <w:b w:val="0"/>
          <w:i w:val="0"/>
          <w:sz w:val="24"/>
        </w:rPr>
        <w:t>6. Отчёт оценщика о рыночной ставке арендной платы; расчёт неосновательного обогащения и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договор не зарегистрирован, но подписан сторонами, суд, скорее всего, применит его условия о плате: для сторон такой договор обязателен. Тогда заявляйте взыскание арендной платы по договору.</w:t>
      </w:r>
    </w:p>
    <w:p>
      <w:pPr>
        <w:spacing w:after="40" w:line="276" w:lineRule="auto"/>
        <w:jc w:val="both"/>
      </w:pPr>
      <w:r>
        <w:rPr>
          <w:rFonts w:ascii="Times New Roman" w:hAnsi="Times New Roman"/>
          <w:b w:val="0"/>
          <w:i/>
          <w:sz w:val="24"/>
        </w:rPr>
        <w:t>— Размер обогащения подтверждайте отчётом оценщика о рыночной ставке за спорный период; суд может назначить экспертизу.</w:t>
      </w:r>
    </w:p>
    <w:p>
      <w:pPr>
        <w:spacing w:after="40" w:line="276" w:lineRule="auto"/>
        <w:jc w:val="both"/>
      </w:pPr>
      <w:r>
        <w:rPr>
          <w:rFonts w:ascii="Times New Roman" w:hAnsi="Times New Roman"/>
          <w:b w:val="0"/>
          <w:i/>
          <w:sz w:val="24"/>
        </w:rPr>
        <w:t>— Претензионный порядок по ч. 5 ст. 4 АПК РФ распространяется и на требования из неосновательного обогащения.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