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организация (ИП)</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лицо, распространившее сведения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[размер убытков]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убытков, причинённых распространением сведений, порочащих деловую репутацию</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Решением арбитражного суда от «[дата]» по делу № [__] [вступило в законную силу «[дата]»] сведения, распространённые ответчиком «[дата]» [способ], признаны не соответствующими действительности и порочащими деловую репутацию истца. [Вариант: факт распространения и порочащий характер сведений доказываются в настоящем деле.]</w:t>
      </w:r>
    </w:p>
    <w:p>
      <w:pPr>
        <w:spacing w:after="120" w:line="276" w:lineRule="auto"/>
        <w:ind w:firstLine="709"/>
        <w:jc w:val="both"/>
      </w:pPr>
      <w:r>
        <w:rPr>
          <w:rFonts w:ascii="Times New Roman" w:hAnsi="Times New Roman"/>
          <w:b w:val="0"/>
          <w:i w:val="0"/>
          <w:sz w:val="24"/>
        </w:rPr>
        <w:t>В результате распространения сведений истец понёс убытки: [контрагент [наименование] расторг договор от «[дата]» № [__], сославшись на полученное письмо ответчика; упущенная выгода по этому договору — [сумма] рублей / банк отказал в кредите, что повлекло [__] / снизилась выручка на [__] % по сравнению с аналогичным периодом]. Истец понёс расходы на восстановление репутации (PR-кампания, публикации опровержений)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Подведомственность.</w:t>
      </w:r>
      <w:r>
        <w:rPr>
          <w:rFonts w:ascii="Times New Roman" w:hAnsi="Times New Roman"/>
          <w:b w:val="0"/>
          <w:i w:val="0"/>
          <w:sz w:val="24"/>
        </w:rPr>
        <w:t xml:space="preserve"> Частью 6 статьи 27 АПК РФ установлено: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 арбитражные суды рассматривают дела:» «7) о защите деловой репутации в сфере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Деловая репутация.</w:t>
      </w:r>
      <w:r>
        <w:rPr>
          <w:rFonts w:ascii="Times New Roman" w:hAnsi="Times New Roman"/>
          <w:b w:val="0"/>
          <w:i w:val="0"/>
          <w:sz w:val="24"/>
        </w:rPr>
        <w:t xml:space="preserve"> Пунктом 1 статьи 150 Гражданского кодекса Российской Федерации (далее — ГК РФ) установлено: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 Пунктом 11 статьи 152 ГК РФ предусмотрено: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pPr>
        <w:spacing w:after="120" w:line="276" w:lineRule="auto"/>
        <w:ind w:firstLine="709"/>
        <w:jc w:val="both"/>
      </w:pPr>
      <w:r>
        <w:rPr>
          <w:rFonts w:ascii="Times New Roman" w:hAnsi="Times New Roman"/>
          <w:b/>
          <w:i w:val="0"/>
          <w:sz w:val="24"/>
        </w:rPr>
        <w:t>Право на возмещение убытков.</w:t>
      </w:r>
      <w:r>
        <w:rPr>
          <w:rFonts w:ascii="Times New Roman" w:hAnsi="Times New Roman"/>
          <w:b w:val="0"/>
          <w:i w:val="0"/>
          <w:sz w:val="24"/>
        </w:rPr>
        <w:t xml:space="preserve"> Пунктом 9 статьи 152 ГК РФ установлено: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 Согласно пункту 11 той же статьи правила о защите деловой репутации гражданина применяются к юридическим лицам, за исключением компенсации морального вреда.</w:t>
      </w:r>
    </w:p>
    <w:p>
      <w:pPr>
        <w:spacing w:after="120" w:line="276" w:lineRule="auto"/>
        <w:ind w:firstLine="709"/>
        <w:jc w:val="both"/>
      </w:pPr>
      <w:r>
        <w:rPr>
          <w:rFonts w:ascii="Times New Roman" w:hAnsi="Times New Roman"/>
          <w:b/>
          <w:i w:val="0"/>
          <w:sz w:val="24"/>
        </w:rPr>
        <w:t>Состав убытков.</w:t>
      </w:r>
      <w:r>
        <w:rPr>
          <w:rFonts w:ascii="Times New Roman" w:hAnsi="Times New Roman"/>
          <w:b w:val="0"/>
          <w:i w:val="0"/>
          <w:sz w:val="24"/>
        </w:rPr>
        <w:t xml:space="preserve">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Ответственность за причинение вреда.</w:t>
      </w:r>
      <w:r>
        <w:rPr>
          <w:rFonts w:ascii="Times New Roman" w:hAnsi="Times New Roman"/>
          <w:b w:val="0"/>
          <w:i w:val="0"/>
          <w:sz w:val="24"/>
        </w:rPr>
        <w:t xml:space="preserve"> Пунктом 1 статьи 1064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line="276" w:lineRule="auto"/>
        <w:ind w:firstLine="709"/>
        <w:jc w:val="both"/>
      </w:pPr>
      <w:r>
        <w:rPr>
          <w:rFonts w:ascii="Times New Roman" w:hAnsi="Times New Roman"/>
          <w:b/>
          <w:i w:val="0"/>
          <w:sz w:val="24"/>
        </w:rPr>
        <w:t>Преюдиция.</w:t>
      </w:r>
      <w:r>
        <w:rPr>
          <w:rFonts w:ascii="Times New Roman" w:hAnsi="Times New Roman"/>
          <w:b w:val="0"/>
          <w:i w:val="0"/>
          <w:sz w:val="24"/>
        </w:rPr>
        <w:t xml:space="preserve"> [Если есть решение суда:] Обстоятельства, установленные вступившим в законную силу судебным актом по ранее рассмотренному делу, не доказываются вновь (часть 2 статьи 69 АПК РФ).</w:t>
      </w:r>
    </w:p>
    <w:p>
      <w:pPr>
        <w:spacing w:after="120" w:line="276" w:lineRule="auto"/>
        <w:ind w:firstLine="709"/>
        <w:jc w:val="both"/>
      </w:pPr>
      <w:r>
        <w:rPr>
          <w:rFonts w:ascii="Times New Roman" w:hAnsi="Times New Roman"/>
          <w:b/>
          <w:i w:val="0"/>
          <w:sz w:val="24"/>
        </w:rPr>
        <w:t>Причинная связь.</w:t>
      </w:r>
      <w:r>
        <w:rPr>
          <w:rFonts w:ascii="Times New Roman" w:hAnsi="Times New Roman"/>
          <w:b w:val="0"/>
          <w:i w:val="0"/>
          <w:sz w:val="24"/>
        </w:rPr>
        <w:t xml:space="preserve"> [Контрагент прямо указал в уведомлении о расторжении, что основанием послужило письмо ответчика / снижение выручки совпадает по времени с распространением и не объясняется иными факторами (заключение специалиста).]</w:t>
      </w:r>
    </w:p>
    <w:p>
      <w:pPr>
        <w:spacing w:after="120" w:line="276" w:lineRule="auto"/>
        <w:ind w:firstLine="709"/>
        <w:jc w:val="both"/>
      </w:pPr>
      <w:r>
        <w:rPr>
          <w:rFonts w:ascii="Times New Roman" w:hAnsi="Times New Roman"/>
          <w:b/>
          <w:i w:val="0"/>
          <w:sz w:val="24"/>
        </w:rPr>
        <w:t>Упущенная выгода.</w:t>
      </w:r>
      <w:r>
        <w:rPr>
          <w:rFonts w:ascii="Times New Roman" w:hAnsi="Times New Roman"/>
          <w:b w:val="0"/>
          <w:i w:val="0"/>
          <w:sz w:val="24"/>
        </w:rPr>
        <w:t xml:space="preserve"> Пунктом 4 статьи 393 ГК РФ установлено: «При определении упущенной выгоды учитываются предпринятые кредитором для ее получения меры и сделанные с этой целью приготовления.»</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возместить убытки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152, 393, 1064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убытки, причинённые распространением сведений, порочащих деловую репутацию,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Решение суда о признании сведений порочащими [если есть] или доказательства распространения и порочащего характера.</w:t>
      </w:r>
    </w:p>
    <w:p>
      <w:pPr>
        <w:spacing w:after="40" w:line="276" w:lineRule="auto"/>
        <w:jc w:val="left"/>
      </w:pPr>
      <w:r>
        <w:rPr>
          <w:rFonts w:ascii="Times New Roman" w:hAnsi="Times New Roman"/>
          <w:b w:val="0"/>
          <w:i w:val="0"/>
          <w:sz w:val="24"/>
        </w:rPr>
        <w:t>4. Документы об убытках (уведомления контрагентов, расторгнутые договоры, бухгалтерская отчётность, отказ банка).</w:t>
      </w:r>
    </w:p>
    <w:p>
      <w:pPr>
        <w:spacing w:after="40" w:line="276" w:lineRule="auto"/>
        <w:jc w:val="left"/>
      </w:pPr>
      <w:r>
        <w:rPr>
          <w:rFonts w:ascii="Times New Roman" w:hAnsi="Times New Roman"/>
          <w:b w:val="0"/>
          <w:i w:val="0"/>
          <w:sz w:val="24"/>
        </w:rPr>
        <w:t>5. Документы о расходах на восстановление репутации.</w:t>
      </w:r>
    </w:p>
    <w:p>
      <w:pPr>
        <w:spacing w:after="40" w:line="276" w:lineRule="auto"/>
        <w:jc w:val="left"/>
      </w:pPr>
      <w:r>
        <w:rPr>
          <w:rFonts w:ascii="Times New Roman" w:hAnsi="Times New Roman"/>
          <w:b w:val="0"/>
          <w:i w:val="0"/>
          <w:sz w:val="24"/>
        </w:rPr>
        <w:t>6. Заключение специалиста о причинной связи [если есть]; расчёт убытков.</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Юридическое лицо не вправе требовать компенсации морального вреда (п. 11 ст. 152 ГК РФ), но вправе взыскать убытки, включая упущенную выгоду. Ключевое — доказать причинную связь между распространением и потерями.</w:t>
      </w:r>
    </w:p>
    <w:p>
      <w:pPr>
        <w:spacing w:after="40" w:line="276" w:lineRule="auto"/>
        <w:jc w:val="both"/>
      </w:pPr>
      <w:r>
        <w:rPr>
          <w:rFonts w:ascii="Times New Roman" w:hAnsi="Times New Roman"/>
          <w:b w:val="0"/>
          <w:i/>
          <w:sz w:val="24"/>
        </w:rPr>
        <w:t>— Требования об опровержении и о взыскании убытков можно соединить в одном иске.</w:t>
      </w:r>
    </w:p>
    <w:p>
      <w:pPr>
        <w:spacing w:after="40" w:line="276" w:lineRule="auto"/>
        <w:jc w:val="both"/>
      </w:pPr>
      <w:r>
        <w:rPr>
          <w:rFonts w:ascii="Times New Roman" w:hAnsi="Times New Roman"/>
          <w:b w:val="0"/>
          <w:i/>
          <w:sz w:val="24"/>
        </w:rPr>
        <w:t>— Срок исковой давности по требованию о возмещении убытков — три года (на опровержение давность не распространяется).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