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лицензиар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лицензиат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[задолженность по вознаграждению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по лицензионному вознаграждению и неустойки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(лицензиаром) и ответчиком (лицензиатом) заключён лицензионный договор № [__] (далее — Договор) о предоставлении права использования [товарного знака по свидетельству № [__] / программы для ЭВМ / изобретения по патенту № [__]] способами [__] на территории [__] сроком до «[дата]». [Предоставление права зарегистрировано в Роспатенте «[дата]».]</w:t>
      </w:r>
    </w:p>
    <w:p>
      <w:pPr>
        <w:spacing w:after="120" w:line="276" w:lineRule="auto"/>
        <w:ind w:firstLine="709"/>
        <w:jc w:val="both"/>
      </w:pPr>
      <w:r>
        <w:rPr>
          <w:rFonts w:ascii="Times New Roman" w:hAnsi="Times New Roman"/>
          <w:b w:val="0"/>
          <w:i w:val="0"/>
          <w:sz w:val="24"/>
        </w:rPr>
        <w:t>Вознаграждение установлено в виде [фиксированных ежеквартальных платежей [сумма] рублей / роялти [__] % от выручки по товарам с отчётами до [__] числа]. Ответчик [не представил отчёты за [периоды] / не уплатил вознаграждение за [периоды]]. Задолженность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Лицензионный договор.</w:t>
      </w:r>
      <w:r>
        <w:rPr>
          <w:rFonts w:ascii="Times New Roman" w:hAnsi="Times New Roman"/>
          <w:b w:val="0"/>
          <w:i w:val="0"/>
          <w:sz w:val="24"/>
        </w:rPr>
        <w:t xml:space="preserve"> Пунктом 1 статьи 1235 ГК РФ установлено: «По лицензионному договору одна сторона - обладатель исключительного права на результат интеллектуальной деятельности или на средство индивидуализации (лицензиар) предоставляет или обязуется предоставить другой стороне (лицензиату) право использования такого результата или такого средства в предусмотренных договором пределах.» Согласно пункту 5 той же статьи «По лицензионному договору лицензиат обязуется уплатить лицензиару обусловленное договором вознаграждение, если договором не предусмотрено иное.» «Выплата вознаграждения по лицензионному договору может быть предусмотрена в форме фиксированных разовых или периодических платежей, процентных отчислений от дохода (выручки) либо в иной форме.»</w:t>
      </w:r>
    </w:p>
    <w:p>
      <w:pPr>
        <w:spacing w:after="120" w:line="276" w:lineRule="auto"/>
        <w:ind w:firstLine="709"/>
        <w:jc w:val="both"/>
      </w:pPr>
      <w:r>
        <w:rPr>
          <w:rFonts w:ascii="Times New Roman" w:hAnsi="Times New Roman"/>
          <w:b/>
          <w:i w:val="0"/>
          <w:sz w:val="24"/>
        </w:rPr>
        <w:t>Применение общих положений об обязательствах.</w:t>
      </w:r>
      <w:r>
        <w:rPr>
          <w:rFonts w:ascii="Times New Roman" w:hAnsi="Times New Roman"/>
          <w:b w:val="0"/>
          <w:i w:val="0"/>
          <w:sz w:val="24"/>
        </w:rPr>
        <w:t xml:space="preserve"> Пунктом 2 статьи 1233 ГК РФ предусмотрено: «К договорам о распоряжении исключительным правом на результат интеллектуальной деятельности или на средство индивидуализации, в том числе к договорам об отчуждении исключительного права и к лицензионным (сублицензионным) договорам, применяются общие положения об обязательствах (статьи 307 - 419) и о договоре (статьи 420 - 453), поскольку иное не установлено правилами настоящего раздела и не вытекает из содержания или характера исключительного права.»</w:t>
      </w:r>
    </w:p>
    <w:p>
      <w:pPr>
        <w:spacing w:after="120" w:line="276" w:lineRule="auto"/>
        <w:ind w:firstLine="709"/>
        <w:jc w:val="both"/>
      </w:pPr>
      <w:r>
        <w:rPr>
          <w:rFonts w:ascii="Times New Roman" w:hAnsi="Times New Roman"/>
          <w:b/>
          <w:i w:val="0"/>
          <w:sz w:val="24"/>
        </w:rPr>
        <w:t>Отчёты лицензиата.</w:t>
      </w:r>
      <w:r>
        <w:rPr>
          <w:rFonts w:ascii="Times New Roman" w:hAnsi="Times New Roman"/>
          <w:b w:val="0"/>
          <w:i w:val="0"/>
          <w:sz w:val="24"/>
        </w:rPr>
        <w:t xml:space="preserve"> Пунктом 1 статьи 1237 ГК РФ установлено: «Лицензиат обязан представлять лицензиару отчеты об использовании результата интеллектуальной деятельности или средства индивидуализации, если лицензионным договором или настоящим Кодексом не предусмотрено иное. Если в лицензионном договоре, предусматривающем представление отчетов об использовании результата интеллектуальной деятельности или средства индивидуализации, отсутствуют условия о сроке и порядке их представления, лицензиат обязан представлять такие отчеты лицензиару по его требованию.» [При непредставлении отчётов размер роялти определяется по [данным открытых источников / бухгалтерской отчётности ответчика / минимальному платежу Договора].]</w:t>
      </w:r>
    </w:p>
    <w:p>
      <w:pPr>
        <w:spacing w:after="120" w:line="276" w:lineRule="auto"/>
        <w:ind w:firstLine="709"/>
        <w:jc w:val="both"/>
      </w:pPr>
      <w:r>
        <w:rPr>
          <w:rFonts w:ascii="Times New Roman" w:hAnsi="Times New Roman"/>
          <w:b/>
          <w:i w:val="0"/>
          <w:sz w:val="24"/>
        </w:rPr>
        <w:t>Надлежащее исполнение.</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[__] Договора установлена неустойка [0,1] % за каждый день просрочки.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spacing w:after="120" w:line="276" w:lineRule="auto"/>
        <w:ind w:firstLine="709"/>
        <w:jc w:val="both"/>
      </w:pPr>
      <w:r>
        <w:rPr>
          <w:rFonts w:ascii="Times New Roman" w:hAnsi="Times New Roman"/>
          <w:b/>
          <w:i w:val="0"/>
          <w:sz w:val="24"/>
        </w:rPr>
        <w:t>Право на отказ от договора.</w:t>
      </w:r>
      <w:r>
        <w:rPr>
          <w:rFonts w:ascii="Times New Roman" w:hAnsi="Times New Roman"/>
          <w:b w:val="0"/>
          <w:i w:val="0"/>
          <w:sz w:val="24"/>
        </w:rPr>
        <w:t xml:space="preserve"> [Для сведения суда:] Пунктом 4 статьи 1237 ГК РФ установлено: «При существенном нарушении лицензиатом обязанности выплатить лицензиару в установленный лицензионным договором срок вознаграждение за предоставление права использования результата интеллектуальной деятельности или средства индивидуализации лицензиар может отказаться в одностороннем порядке от лицензионного договора и потребовать возмещения убытков, причиненных его расторжением. Договор прекращается по истечении тридцатидневного срока с момента получения уведомления об отказе от договора, если в этот срок лицензиат не исполнил обязанность выплатить вознаграждение.»</w:t>
      </w:r>
    </w:p>
    <w:p>
      <w:pPr>
        <w:spacing w:after="120" w:line="276" w:lineRule="auto"/>
        <w:ind w:firstLine="709"/>
        <w:jc w:val="both"/>
      </w:pPr>
      <w:r>
        <w:rPr>
          <w:rFonts w:ascii="Times New Roman" w:hAnsi="Times New Roman"/>
          <w:b/>
          <w:i w:val="0"/>
          <w:sz w:val="24"/>
        </w:rPr>
        <w:t>Использование после прекращения лицензии.</w:t>
      </w:r>
      <w:r>
        <w:rPr>
          <w:rFonts w:ascii="Times New Roman" w:hAnsi="Times New Roman"/>
          <w:b w:val="0"/>
          <w:i w:val="0"/>
          <w:sz w:val="24"/>
        </w:rPr>
        <w:t xml:space="preserve"> [Если договор прекращён, а использование продолжается:] Пунктом 3 статьи 1237 ГК РФ предусмотрено: «Использование результата интеллектуальной деятельности или средства индивидуализации способом, не предусмотренным лицензионным договором, либо по прекращении действия такого договора, либо иным образом за пределами прав, предоставленных лицензиату по договору, влечет ответственность за нарушение исключительного права на результат интеллектуальной деятельности или на средство индивидуализации, установленную настоящим Кодексом, другими законами или договором.»</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уплатить лицензионное вознаграждение и неустойку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330, 1233, 1235, 1237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по лицензионному вознаграждению по договору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неустойку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[Обязать ответчика представить отчёты об использовании за [периоды].]</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Лицензионный договор, уведомление Роспатента о регистрации [если требуется].</w:t>
      </w:r>
    </w:p>
    <w:p>
      <w:pPr>
        <w:spacing w:after="40" w:line="276" w:lineRule="auto"/>
        <w:jc w:val="left"/>
      </w:pPr>
      <w:r>
        <w:rPr>
          <w:rFonts w:ascii="Times New Roman" w:hAnsi="Times New Roman"/>
          <w:b w:val="0"/>
          <w:i w:val="0"/>
          <w:sz w:val="24"/>
        </w:rPr>
        <w:t>4. Отчёты лицензиата (или доказательства их непредставления), данные о выручке.</w:t>
      </w:r>
    </w:p>
    <w:p>
      <w:pPr>
        <w:spacing w:after="40" w:line="276" w:lineRule="auto"/>
        <w:jc w:val="left"/>
      </w:pPr>
      <w:r>
        <w:rPr>
          <w:rFonts w:ascii="Times New Roman" w:hAnsi="Times New Roman"/>
          <w:b w:val="0"/>
          <w:i w:val="0"/>
          <w:sz w:val="24"/>
        </w:rPr>
        <w:t>5. Расчёт задолженности и неустойки.</w:t>
      </w:r>
    </w:p>
    <w:p>
      <w:pPr>
        <w:spacing w:after="40" w:line="276" w:lineRule="auto"/>
        <w:jc w:val="left"/>
      </w:pPr>
      <w:r>
        <w:rPr>
          <w:rFonts w:ascii="Times New Roman" w:hAnsi="Times New Roman"/>
          <w:b w:val="0"/>
          <w:i w:val="0"/>
          <w:sz w:val="24"/>
        </w:rPr>
        <w:t>6.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Иски о нарушении исключительных прав (о компенсации, запрете использования) рассматривает арбитражный суд субъекта РФ по общим правилам подсудности; Суд по интеллектуальным правам — кассационная инстанция по таким делам. Споры о предоставлении правовой охраны (о признании патента недействительным, о досрочном прекращении товарного знака) — первая инстанция СИП.</w:t>
      </w:r>
    </w:p>
    <w:p>
      <w:pPr>
        <w:spacing w:after="40" w:line="276" w:lineRule="auto"/>
        <w:jc w:val="both"/>
      </w:pPr>
      <w:r>
        <w:rPr>
          <w:rFonts w:ascii="Times New Roman" w:hAnsi="Times New Roman"/>
          <w:b w:val="0"/>
          <w:i/>
          <w:sz w:val="24"/>
        </w:rPr>
        <w:t>— Если лицензия подлежала государственной регистрации, но не зарегистрирована, право использования не считается предоставленным; однако лицензиат, фактически пользовавшийся объектом, обязан заплатить (ст. 1102, 1105 ГК РФ).</w:t>
      </w:r>
    </w:p>
    <w:p>
      <w:pPr>
        <w:spacing w:after="40" w:line="276" w:lineRule="auto"/>
        <w:jc w:val="both"/>
      </w:pPr>
      <w:r>
        <w:rPr>
          <w:rFonts w:ascii="Times New Roman" w:hAnsi="Times New Roman"/>
          <w:b w:val="0"/>
          <w:i/>
          <w:sz w:val="24"/>
        </w:rPr>
        <w:t>— При длительной неоплате выгоднее отказаться от договора (п. 4 ст. 1237 ГК РФ) и затем взыскивать компенсацию за бездоговорное использование.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