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правообладатель программы</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нарушитель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[размер компенсации]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 [+ 50 000 руб. за требование о запрете]</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защите исключительного права на программу для ЭВМ и взыскании компенсации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является правообладателем программы для ЭВМ «[наименование]» [свидетельство о государственной регистрации программы № [__] / права подтверждаются договорами с разработчиками]. Программа распространяется по лицензионным договорам по цене [сумма] рублей за одно рабочее место.</w:t>
      </w:r>
    </w:p>
    <w:p>
      <w:pPr>
        <w:spacing w:after="120" w:line="276" w:lineRule="auto"/>
        <w:ind w:firstLine="709"/>
        <w:jc w:val="both"/>
      </w:pPr>
      <w:r>
        <w:rPr>
          <w:rFonts w:ascii="Times New Roman" w:hAnsi="Times New Roman"/>
          <w:b w:val="0"/>
          <w:i w:val="0"/>
          <w:sz w:val="24"/>
        </w:rPr>
        <w:t>Ответчик без лицензии [установил и использует программу на [__] компьютерах в своём офисе / распространяет модифицированную версию программы / использует программу сверх количества лицензий ([__] при приобретённых [__])], что установлено [протоколом осмотра в рамках проверки / заключением эксперта / данными системы лицензирования].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Программа для ЭВМ как объект авторского права.</w:t>
      </w:r>
      <w:r>
        <w:rPr>
          <w:rFonts w:ascii="Times New Roman" w:hAnsi="Times New Roman"/>
          <w:b w:val="0"/>
          <w:i w:val="0"/>
          <w:sz w:val="24"/>
        </w:rPr>
        <w:t xml:space="preserve"> Статьёй 1261 ГК РФ установлено: «Авторские права на все виды программ для ЭВМ (в том числе на операционные системы и программные комплексы), которые могут быть выражены на любом языке и в любой форме, включая исходный текст и объектный код, охраняются так же, как авторские права на произведения литературы. Программой для ЭВМ является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 Абзацем четырнадцатым пункта 1 статьи 1259 ГК РФ предусмотрено: «К объектам авторских прав также относятся программы для ЭВМ, которые охраняются как литературные произведения.»</w:t>
      </w:r>
    </w:p>
    <w:p>
      <w:pPr>
        <w:spacing w:after="120" w:line="276" w:lineRule="auto"/>
        <w:ind w:firstLine="709"/>
        <w:jc w:val="both"/>
      </w:pPr>
      <w:r>
        <w:rPr>
          <w:rFonts w:ascii="Times New Roman" w:hAnsi="Times New Roman"/>
          <w:b/>
          <w:i w:val="0"/>
          <w:sz w:val="24"/>
        </w:rPr>
        <w:t>Исключительное право.</w:t>
      </w:r>
      <w:r>
        <w:rPr>
          <w:rFonts w:ascii="Times New Roman" w:hAnsi="Times New Roman"/>
          <w:b w:val="0"/>
          <w:i w:val="0"/>
          <w:sz w:val="24"/>
        </w:rPr>
        <w:t xml:space="preserve"> Пунктом 1 статьи 1229 Гражданского кодекса Российской Федерации (далее — ГК РФ) установлено: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pPr>
        <w:spacing w:after="120" w:line="276" w:lineRule="auto"/>
        <w:ind w:firstLine="709"/>
        <w:jc w:val="both"/>
      </w:pPr>
      <w:r>
        <w:rPr>
          <w:rFonts w:ascii="Times New Roman" w:hAnsi="Times New Roman"/>
          <w:b/>
          <w:i w:val="0"/>
          <w:sz w:val="24"/>
        </w:rPr>
        <w:t>Использование программы.</w:t>
      </w:r>
      <w:r>
        <w:rPr>
          <w:rFonts w:ascii="Times New Roman" w:hAnsi="Times New Roman"/>
          <w:b w:val="0"/>
          <w:i w:val="0"/>
          <w:sz w:val="24"/>
        </w:rPr>
        <w:t xml:space="preserve"> Подпунктом 1 пункта 2 статьи 1270 ГК РФ установлено, что использованием считается «1) воспроизведение произведения, то есть изготовление одного и более экземпляра произведения или его части в любой материальной форме, в том числе в форме звуко-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произведения на электронном носителе, в том числе запись в память ЭВМ, также считается воспроизведением. Не считается воспроизведением краткосрочная запись произведения,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произведения либо осуществляемую информационным посредником между третьими лицами передачу произведения в информационно-телекоммуникационной сети, при условии, что такая запись не имеет самостоятельного экономического значения» Установка программы в память ЭВМ является её воспроизведением. [Модификация:] Подпунктом 9 той же статьи предусмотрено: «9) перевод или другая переработка произведения. При этом под переработкой произведения понимается создание производного произведения (обработки, экранизации, аранжировки, инсценировки и тому подобного). Под переработкой (модификацией) программы для ЭВМ или базы данных понимаются любые их изменения, в том числе перевод такой программы или такой базы данных с одного языка на другой язык, за исключением адаптации, то есть внесения изменений,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w:t>
      </w:r>
    </w:p>
    <w:p>
      <w:pPr>
        <w:spacing w:after="120" w:line="276" w:lineRule="auto"/>
        <w:ind w:firstLine="709"/>
        <w:jc w:val="both"/>
      </w:pPr>
      <w:r>
        <w:rPr>
          <w:rFonts w:ascii="Times New Roman" w:hAnsi="Times New Roman"/>
          <w:b/>
          <w:i w:val="0"/>
          <w:sz w:val="24"/>
        </w:rPr>
        <w:t>Использование за пределами лицензии.</w:t>
      </w:r>
      <w:r>
        <w:rPr>
          <w:rFonts w:ascii="Times New Roman" w:hAnsi="Times New Roman"/>
          <w:b w:val="0"/>
          <w:i w:val="0"/>
          <w:sz w:val="24"/>
        </w:rPr>
        <w:t xml:space="preserve"> [Если была лицензия на меньшее количество мест:] Пунктом 3 статьи 1237 ГК РФ установлено: «Использование результата интеллектуальной деятельности или средства индивидуализации способом, не предусмотренным лицензионным договором, либо по прекращении действия такого договора, либо иным образом за пределами прав, предоставленных лицензиату по договору, влечет ответственность за нарушение исключительного права на результат интеллектуальной деятельности или на средство индивидуализации, установленную настоящим Кодексом, другими законами или договором.»</w:t>
      </w:r>
    </w:p>
    <w:p>
      <w:pPr>
        <w:spacing w:after="120" w:line="276" w:lineRule="auto"/>
        <w:ind w:firstLine="709"/>
        <w:jc w:val="both"/>
      </w:pPr>
      <w:r>
        <w:rPr>
          <w:rFonts w:ascii="Times New Roman" w:hAnsi="Times New Roman"/>
          <w:b/>
          <w:i w:val="0"/>
          <w:sz w:val="24"/>
        </w:rPr>
        <w:t>Способы защиты.</w:t>
      </w:r>
      <w:r>
        <w:rPr>
          <w:rFonts w:ascii="Times New Roman" w:hAnsi="Times New Roman"/>
          <w:b w:val="0"/>
          <w:i w:val="0"/>
          <w:sz w:val="24"/>
        </w:rPr>
        <w:t xml:space="preserve"> Пунктом 1 статьи 1252 ГК РФ установлено: «В случае нарушения исключительных прав на результаты интеллектуальной деятельности и на средства индивидуализации их защита осуществляется, в частности, путем предъявления в порядке, предусмотренном настоящим Кодексом, требования:» «2)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«3) о возмещении убытков или в случаях, предусмотренных настоящим Кодексом, о выплате компенсации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«4)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«5) о публикации решения суда о допущенном нарушении с указанием действительного правообладателя - к нарушителю исключительного права.» Пунктом 1.1 той же статьи предусмотрено: «Нарушением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каким-либо одним способом.»</w:t>
      </w:r>
    </w:p>
    <w:p>
      <w:pPr>
        <w:spacing w:after="120" w:line="276" w:lineRule="auto"/>
        <w:ind w:firstLine="709"/>
        <w:jc w:val="both"/>
      </w:pPr>
      <w:r>
        <w:rPr>
          <w:rFonts w:ascii="Times New Roman" w:hAnsi="Times New Roman"/>
          <w:b/>
          <w:i w:val="0"/>
          <w:sz w:val="24"/>
        </w:rPr>
        <w:t>Компенсация.</w:t>
      </w:r>
      <w:r>
        <w:rPr>
          <w:rFonts w:ascii="Times New Roman" w:hAnsi="Times New Roman"/>
          <w:b w:val="0"/>
          <w:i w:val="0"/>
          <w:sz w:val="24"/>
        </w:rPr>
        <w:t xml:space="preserve"> Пунктом 1 статьи 1301 ГК РФ предусмотрено: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со статьей 1252.1 настоящего Кодекса требовать от нарушителя по своему выбору вместо возмещения убытков выплаты компенсации:» «1) в размере от десяти тысяч до десяти миллионов рублей»; «2) в размере двукратной стоимости контрафактных экземпляров произведения»; «3) в размере двукратной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 Истец просит компенсацию в двукратном размере стоимости права использования: [__] экземпляров × [сумма] × 2 = [сумма] рублей.</w:t>
      </w:r>
    </w:p>
    <w:p>
      <w:pPr>
        <w:spacing w:after="120" w:line="276" w:lineRule="auto"/>
        <w:ind w:firstLine="709"/>
        <w:jc w:val="both"/>
      </w:pPr>
      <w:r>
        <w:rPr>
          <w:rFonts w:ascii="Times New Roman" w:hAnsi="Times New Roman"/>
          <w:b/>
          <w:i w:val="0"/>
          <w:sz w:val="24"/>
        </w:rPr>
        <w:t>Компенсация.</w:t>
      </w:r>
      <w:r>
        <w:rPr>
          <w:rFonts w:ascii="Times New Roman" w:hAnsi="Times New Roman"/>
          <w:b w:val="0"/>
          <w:i w:val="0"/>
          <w:sz w:val="24"/>
        </w:rPr>
        <w:t xml:space="preserve"> Пунктом 1 статьи 1252.1 ГК РФ установлено: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своего права, освобождается от доказывания размера причиненных ему убытков.» Согласно пункту 2 той же статьи «Компенсация может быть исчислена с помощью одного из следующих способов расчета, используемых по основаниям и в пределах, которые предусмотрены настоящим Кодексом для отдельных видов результатов интеллектуальной деятельности или средств индивидуализации с учетом их особенностей:» «назначение компенсации в твердом размере»; «назначение компенсации в размере, кратном стоимости контрафактных материальных носителей»; «назначение компенсации в размере, кратном стоимости права использования результата интеллектуальной деятельности или средства индивидуализации, определяемой исходя из цены, которая при сравнимых обстоятельствах обычно взимается за правомерное использование таких результата или средства тем способом, который использовал нарушитель.»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w:t>
      </w:r>
    </w:p>
    <w:p>
      <w:pPr>
        <w:spacing w:after="120" w:line="276" w:lineRule="auto"/>
        <w:ind w:firstLine="709"/>
        <w:jc w:val="both"/>
      </w:pPr>
      <w:r>
        <w:rPr>
          <w:rFonts w:ascii="Times New Roman" w:hAnsi="Times New Roman"/>
          <w:b/>
          <w:i w:val="0"/>
          <w:sz w:val="24"/>
        </w:rPr>
        <w:t>Ответственность независимо от вины.</w:t>
      </w:r>
      <w:r>
        <w:rPr>
          <w:rFonts w:ascii="Times New Roman" w:hAnsi="Times New Roman"/>
          <w:b w:val="0"/>
          <w:i w:val="0"/>
          <w:sz w:val="24"/>
        </w:rPr>
        <w:t xml:space="preserve"> Абзацем третьим пункта 3 статьи 1250 ГК РФ установлено: «Если иное не установлено настоящим Кодексом, предусмотренные подпунктом 3 пункта 1 статьи 1252 и статьей 1252.1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Пунктом 5.1 статьи 1252 ГК РФ установлено: «В случае, если правообладатель и нарушитель исключительного права являются юридическими лицами и (или) индивидуальными предпринимателями и спор подлежит рассмотрению в арбитражном суде, до предъявления иска о возмещении убытков или выплате компенсации обязательно предъявление правообладателем претензии.» «Иск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 «[дата]» истец направил ответчику претензию с требованием выплатить компенсацию и прекратить использование нелицензионных экземпляров (почтовое отправление № [__] / по электронной почте, указанной на сайте ответчика). Ответ [не получен в течение 30 дней / ответчик отказал]. Абзацем третьим пункта 5.1 статьи 1252 ГК РФ предусмотрено: «Не требуется предъявления правообладателем претензии до предъявления им требования, указанного в подпунктах 1, 2, 4 и 5 пункта 1 и пункте 5 настоящей статьи.»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1229, 1237, 1250, 1252, 1252.1, 1259, 1261, 1270, 1301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компенсацию за нарушение исключительного права на программу для ЭВМ «[наименование]» в размере [сумма] рублей.</w:t>
      </w:r>
    </w:p>
    <w:p>
      <w:pPr>
        <w:spacing w:after="120" w:line="276" w:lineRule="auto"/>
        <w:ind w:firstLine="709"/>
        <w:jc w:val="both"/>
      </w:pPr>
      <w:r>
        <w:rPr>
          <w:rFonts w:ascii="Times New Roman" w:hAnsi="Times New Roman"/>
          <w:b w:val="0"/>
          <w:i w:val="0"/>
          <w:sz w:val="24"/>
        </w:rPr>
        <w:t>2. Запретить ответчику использовать программу для ЭВМ «[наименование]» без заключения лицензионного договора с истцом.</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Свидетельство о регистрации программы / договоры с разработчиками; лицензионная политика и прейскурант.</w:t>
      </w:r>
    </w:p>
    <w:p>
      <w:pPr>
        <w:spacing w:after="40" w:line="276" w:lineRule="auto"/>
        <w:jc w:val="left"/>
      </w:pPr>
      <w:r>
        <w:rPr>
          <w:rFonts w:ascii="Times New Roman" w:hAnsi="Times New Roman"/>
          <w:b w:val="0"/>
          <w:i w:val="0"/>
          <w:sz w:val="24"/>
        </w:rPr>
        <w:t>4. Доказательства использования (протокол осмотра, заключение эксперта, данные системы лицензирования).</w:t>
      </w:r>
    </w:p>
    <w:p>
      <w:pPr>
        <w:spacing w:after="40" w:line="276" w:lineRule="auto"/>
        <w:jc w:val="left"/>
      </w:pPr>
      <w:r>
        <w:rPr>
          <w:rFonts w:ascii="Times New Roman" w:hAnsi="Times New Roman"/>
          <w:b w:val="0"/>
          <w:i w:val="0"/>
          <w:sz w:val="24"/>
        </w:rPr>
        <w:t>5. Претензия и доказательства направления.</w:t>
      </w:r>
    </w:p>
    <w:p>
      <w:pPr>
        <w:spacing w:after="40" w:line="276" w:lineRule="auto"/>
        <w:jc w:val="left"/>
      </w:pPr>
      <w:r>
        <w:rPr>
          <w:rFonts w:ascii="Times New Roman" w:hAnsi="Times New Roman"/>
          <w:b w:val="0"/>
          <w:i w:val="0"/>
          <w:sz w:val="24"/>
        </w:rPr>
        <w:t>6. Расчёт компенсации.</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Иски о нарушении исключительных прав (о компенсации, запрете использования) рассматривает арбитражный суд субъекта РФ по общим правилам подсудности; Суд по интеллектуальным правам — кассационная инстанция по таким делам. Споры о предоставлении правовой охраны (о признании патента недействительным, о досрочном прекращении товарного знака) — первая инстанция СИП.</w:t>
      </w:r>
    </w:p>
    <w:p>
      <w:pPr>
        <w:spacing w:after="40" w:line="276" w:lineRule="auto"/>
        <w:jc w:val="both"/>
      </w:pPr>
      <w:r>
        <w:rPr>
          <w:rFonts w:ascii="Times New Roman" w:hAnsi="Times New Roman"/>
          <w:b w:val="0"/>
          <w:i/>
          <w:sz w:val="24"/>
        </w:rPr>
        <w:t>— Для доказывания установки нелицензионного ПО часто используют материалы проверок правоохранительных органов или обеспечение доказательств (ст. 72 АПК РФ — до подачи иска).</w:t>
      </w:r>
    </w:p>
    <w:p>
      <w:pPr>
        <w:spacing w:after="40" w:line="276" w:lineRule="auto"/>
        <w:jc w:val="both"/>
      </w:pPr>
      <w:r>
        <w:rPr>
          <w:rFonts w:ascii="Times New Roman" w:hAnsi="Times New Roman"/>
          <w:b w:val="0"/>
          <w:i/>
          <w:sz w:val="24"/>
        </w:rPr>
        <w:t>— Регистрация программы не обязательна (п. 4 ст. 1259 ГК РФ), но свидетельство Роспатента упрощает доказывание прав.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