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Федерации: города Москвы / Московской области / …]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правообладатель фирменного наименования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 / индивидуальный предприниматель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место жительства 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(ОГРНИП)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организация с тождественным (сходным) наименованием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 / индивидуальный предприниматель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место жительства 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(ОГРНИП)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15 000 руб. для ИП (подп. 4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обязании прекратить использование фирменного наименования, сходного до степени смешения, или изменить его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Истец — ООО «[наименование]» — зарегистрирован в ЕГРЮЛ «[дата]» и с тех пор осуществляет деятельность [вид — ОКВЭД [__]]. «[дата]» зарегистрировано ООО «[наименование ответчика]» с фирменным наименованием, [тождественным / сходным до степени смешения] с наименованием истца, осуществляющее аналогичную деятельность [ОКВЭД [__], фактическая деятельность — [__]] [в том же регионе].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Использование ответчиком сходного наименования вводит в заблуждение контрагентов: [клиенты истца ошибочно направляли заявки и платежи ответчику; в поисковой выдаче компании путают; поступали претензии, адресованные ответчику]. Требование истца от «[дата]» изменить наименование не исполнено.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Фирменное наименование.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1473 ГК РФ установлено: «Юридическое лицо, являющееся коммерческой организацией, выступает в гражданском обороте под своим фирменным наименованием, которое определяется в его учредительных документах и включается в единый государственный реестр юридических лиц при государственной регистрации юридического лица.»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Исключительное право.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1474 ГК РФ предусмотрено: «Юридическому лицу принадлежит исключительное право использования своего фирменного наименования в качестве средства индивидуализации любым не противоречащим закону способом (исключительное право на фирменное наименование), в том числе путем его указания на вывесках, бланках, в счетах и иной документации, в объявлениях и рекламе, на товарах или их упаковках, в сети "Интернет".»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Запрет тождественного и сходного наименования.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1474 ГК РФ установлено: «Не допускается использование юридическим лицом фирменного наименования, тождественного фирменному наименованию другого юридического лица или сходного с ним до степени смешения, если указанные юридические лица осуществляют аналогичную деятельность и фирменное наименование второго юридического лица было включено в единый государственный реестр юридических лиц ранее, чем фирменное наименование первого юридического лица.» Наименование истца включено в ЕГРЮЛ ранее; деятельность сторон аналогична.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нарушителя.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1474 ГК РФ предусмотрено: «Юридическое лицо, нарушившее правила пункта 3 настоящей статьи, по требованию правообладателя обязано по своему выбору прекратить использование фирменного наименования, тождественного фирменному наименованию правообладателя или сходного с ним до степени смешения, в отношении видов деятельности, аналогичных видам деятельности, осуществляемым правообладателем, или изменить свое фирменное наименование, а также обязано возместить правообладателю причиненные убытки.»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Приоритет ранее возникшего права.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пункта 6 статьи 1252 ГК РФ установлено: «Если различные средства индивидуализации (фирменное наименование, товарный знак, знак обслуживания, коммерческое обозначение) оказываются тождественными или сходными до степени смешения и в результате такого тождества или сходства могут быть введены в заблуждение потребители и (или) контрагенты, преимущество имеет средство индивидуализации, исключительное право на которое возникло ранее, либо в случаях установления конвенционного или выставочного приоритета средство индивидуализации, которое имеет более ранний приоритет.»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Аналогичность деятельности.</w:t>
      </w:r>
      <w:r>
        <w:rPr>
          <w:rFonts w:ascii="Times New Roman" w:hAnsi="Times New Roman"/>
          <w:b w:val="0"/>
          <w:i w:val="0"/>
          <w:sz w:val="24"/>
        </w:rPr>
        <w:t xml:space="preserve"> Определяется по фактически осуществляемой деятельности, а не только по кодам ОКВЭД: [описание совпадения видов деятельности, рынка и клиентов].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Способы защиты.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1252 ГК РФ установлено: «В случае нарушения исключительных прав на результаты интеллектуальной деятельности и на средства индивидуализации их защита осуществляется, в частности, путем предъявления в порядке, предусмотренном настоящим Кодексом, требования:» «2) о пресечении действий, нарушающих право или создающих угрозу его нарушения, - к лицу, совершающему такие действия или осуществляющему необходимые приготовления к ним, а также к иным лицам, которые могут пресечь такие действия»; «3) о возмещении убытков или в случаях, предусмотренных настоящим Кодексом, о выплате компенсации - к лицу, неправомерно использовавшему результат интеллектуальной деятельности или средство индивидуализации без заключения соглашения с правообладателем (бездоговорное использование) либо иным образом нарушившему его исключительное право и причинившему ему ущерб, в том числе нарушившему его право на вознаграждение, предусмотренное статьей 1245, пунктом 3 статьи 1263 и статьей 1326 настоящего Кодекса»; «4) об изъятии материального носителя в соответствии с пунктом 4 настоящей статьи - к его изготовителю, импортеру, хранителю, перевозчику, продавцу, иному распространителю, недобросовестному приобретателю»; «5) о публикации решения суда о допущенном нарушении с указанием действительного правообладателя - к нарушителю исключительного права.» Пунктом 1.1 той же статьи предусмотрено: «Нарушением исключительного права признается незаконное использование одного результата интеллектуальной деятельности или средства индивидуализации каким-либо одним способом.»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Досудебное урегулирование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Требование о пресечении нарушения не требует обязательной претензии (абзац третий пункта 5.1 статьи 1252 ГК РФ: «Не требуется предъявления правообладателем претензии до предъявления им требования, указанного в подпунктах 1, 2, 4 и 5 пункта 1 и пункте 5 настоящей статьи.»). Истец тем не менее направил ответчику требование «[дата]».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статье 35 АПК РФ «Иск предъявляется в арбитражный суд субъекта Российской Федерации по адресу или месту жительства ответчика.» Ответчик находится по адресу: [адрес из ЕГРЮЛ], что относится к компетенции Арбитражного суда [наименование].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силу статьи 101 АПК РФ «Судебные расходы состоят из государственной пошлины и судебных издержек, связанных с рассмотрением дела арбитражным судом.» Статьёй 106 АПК РФ установлено: «К судебным издержкам, связанным с рассмотрением дела в арбитражном суде, относятся денежные суммы, подлежащие выплате экспертам, специалистам, свидетелям, переводчикам, расходы, связанные с проведением осмотра доказательств на месте, расходы на оплату услуг адвокатов и иных лиц, оказывающих юридическую помощь (представителей), расходы юридического лица на уведомление о корпоративном споре в случае, если федеральным законом предусмотрена обязанность такого уведомления, и другие расходы, понесенные лицами, участвующими в деле, в связи с рассмотрением дела в арбитражном суде.» Частью 1 статьи 110 АПК РФ установлено: «Судебные расходы, понесенные лицами, участвующими в деле, в пользу которых принят судебный акт, взыскиваются арбитражным судом со стороны.» Согласно части 2 той же статьи «Расходы на оплату услуг представителя, понесенные лицом, в пользу которого принят судебный акт, взыскиваются арбитражным судом с другого лица, участвующего в деле, в разумных пределах.» При подаче иска истец уплатил государственную пошлину в размере [сумма] рублей [и понёс расходы на оплату услуг представителя в размере [сумма] рублей по договору от «[дата]» № [__]].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1252, 1473, 1474 Гражданского кодекса Российской Федерации, статьями 4, 101, 106, 110, 125, 126 Арбитражного процессуального кодекса Российской Федерации,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Обязать ответчика в течение [__] месяцев со дня вступления решения в законную силу [прекратить использование фирменного наименования «[__]» в отношении видов деятельности [__] / изменить своё фирменное наименование, исключив из него обозначение «[__]»].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[Взыскать с ответчика убытки в размере [сумма] рублей.]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в размере [сумма] рублей [и расходы на оплату услуг представителя в размере [сумма] рублей].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ответчику копии искового заявления и приложенных к нему документов, которые у него отсутствуют (почтовая квитанция и опись вложения / подтверждение отправки через систему электронного документооборота).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 (платёжное поручение с отметкой банка).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Выписки из ЕГРЮЛ на истца и ответчика (даты регистрации, ОКВЭД).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Доказательства фактической деятельности сторон (договоры, сайты, реклама).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Доказательства смешения (ошибочные платежи и заявки, переписка, поисковая выдача).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Требование ответчику и доказательства направления.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Выписки из ЕГРЮЛ (ЕГРИП) в отношении истца и ответчика, полученные не ранее чем за тридцать дней до обращения в суд.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Документ о полномочиях лица, подписавшего иск: решение (протокол) о назначении руководителя либо доверенность представителя и копия диплома о высшем юридическом образовании или документа о статусе адвоката.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Иски о нарушении исключительных прав (о компенсации, запрете использования) рассматривает арбитражный суд субъекта РФ по общим правилам подсудности; Суд по интеллектуальным правам — кассационная инстанция по таким делам. Споры о предоставлении правовой охраны (о признании патента недействительным, о досрочном прекращении товарного знака) — первая инстанция СИП.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Компенсация за нарушение права на фирменное наименование законом не предусмотрена — можно взыскать только убытки (п. 4 ст. 1474 ГК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у вас есть товарный знак со сходным обозначением, заявляйте также требования по товарному знаку — там предусмотрена компенсация.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07.10.2026).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Подсудность: по общему правилу иск подаётся в арбитражный суд субъекта РФ по адресу ответчика (ст. 35 АПК РФ); договором может быть установлена иная подсудность (ст. 37 АПК РФ), а иск из договора с указанным местом исполнения можно подать по месту исполнения (ч. 4 ст. 36 АПК РФ). Иск удобно подать через систему «Мой арбитр» (ч. 7 ст. 4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Госпошлина по имущественному иску (подп. 1 п. 1 ст. 333.21 НК РФ в ред. с 08.09.2024): до 100 000 руб. — 10 000 руб.; от 100 001 до 1 000 000 руб. — 10 000 руб. плюс 5 % суммы свыше 100 000 руб.; от 1 000 001 до 10 000 000 руб. — 55 000 руб. плюс 3 % суммы свыше 1 000 000 руб.; от 10 000 001 до 50 000 000 руб. — 325 000 руб. плюс 1 % суммы свыше 10 000 000 руб.; свыше 50 000 000 руб. — 725 000 руб. плюс 0,5 % суммы свыше 50 000 000 руб., но не более 10 000 000 руб.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(ч. 2 ст. 112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