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правообладатель коммерческого обозначения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нарушитель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15 000 руб. для ИП (подп. 4 п. 1 ст. 333.21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обязании прекратить использование коммерческого обозначения и возмещении убытков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С «[дата]» истец использует для индивидуализации своего предприятия [ресторана / магазина / салона / сети автосервисов] по адресу [__] коммерческое обозначение «[__]» — на вывеске, в рекламе, на сайте [домен], в меню и чеках. Обозначение известно в пределах [города / района]: [публикации в СМИ, отзывы, рейтинги, обороты, рекламные бюджеты].</w:t>
      </w:r>
    </w:p>
    <w:p>
      <w:pPr>
        <w:spacing w:after="120" w:line="276" w:lineRule="auto"/>
        <w:ind w:firstLine="709"/>
        <w:jc w:val="both"/>
      </w:pPr>
      <w:r>
        <w:rPr>
          <w:rFonts w:ascii="Times New Roman" w:hAnsi="Times New Roman"/>
          <w:b w:val="0"/>
          <w:i w:val="0"/>
          <w:sz w:val="24"/>
        </w:rPr>
        <w:t>«[дата]» ответчик открыл [аналогичное заведение] по адресу [__] под обозначением «[__]», сходным до степени смешения с обозначением истца [и зарегистрировал доменное имя [__]]. Потребители путают предприятия: [отзывы, звонки, обращения].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Исключительное право на коммерческое обозначение.</w:t>
      </w:r>
      <w:r>
        <w:rPr>
          <w:rFonts w:ascii="Times New Roman" w:hAnsi="Times New Roman"/>
          <w:b w:val="0"/>
          <w:i w:val="0"/>
          <w:sz w:val="24"/>
        </w:rPr>
        <w:t xml:space="preserve"> Пунктом 1 статьи 1539 Гражданского кодекса Российской Федерации (далее — ГК РФ) установлено: «Правообладателю принадлежит исключительное право использования коммерческого обозначения в качестве средства индивидуализации принадлежащего ему предприятия любым не противоречащим закону способом (исключительное право на коммерческое обозначение), в том числе путем указания коммерческого обозначения на вывесках, бланках, в счетах и на иной документации, в объявлениях и рекламе, на товарах или их упаковках, в сети "Интернет", если такое обозначение обладает достаточными различительными признаками и его употребление правообладателем для индивидуализации своего предприятия является известным в пределах определенной территории.»</w:t>
      </w:r>
    </w:p>
    <w:p>
      <w:pPr>
        <w:spacing w:after="120" w:line="276" w:lineRule="auto"/>
        <w:ind w:firstLine="709"/>
        <w:jc w:val="both"/>
      </w:pPr>
      <w:r>
        <w:rPr>
          <w:rFonts w:ascii="Times New Roman" w:hAnsi="Times New Roman"/>
          <w:b/>
          <w:i w:val="0"/>
          <w:sz w:val="24"/>
        </w:rPr>
        <w:t>Различительная способность и известность.</w:t>
      </w:r>
      <w:r>
        <w:rPr>
          <w:rFonts w:ascii="Times New Roman" w:hAnsi="Times New Roman"/>
          <w:b w:val="0"/>
          <w:i w:val="0"/>
          <w:sz w:val="24"/>
        </w:rPr>
        <w:t xml:space="preserve"> Обозначение «[__]» обладает достаточными различительными признаками [оригинальное, не описательное] и известно в пределах территории [__] благодаря длительному (с «[дата]») и интенсивному использованию.</w:t>
      </w:r>
    </w:p>
    <w:p>
      <w:pPr>
        <w:spacing w:after="120" w:line="276" w:lineRule="auto"/>
        <w:ind w:firstLine="709"/>
        <w:jc w:val="both"/>
      </w:pPr>
      <w:r>
        <w:rPr>
          <w:rFonts w:ascii="Times New Roman" w:hAnsi="Times New Roman"/>
          <w:b/>
          <w:i w:val="0"/>
          <w:sz w:val="24"/>
        </w:rPr>
        <w:t>Запрет сходных обозначений.</w:t>
      </w:r>
      <w:r>
        <w:rPr>
          <w:rFonts w:ascii="Times New Roman" w:hAnsi="Times New Roman"/>
          <w:b w:val="0"/>
          <w:i w:val="0"/>
          <w:sz w:val="24"/>
        </w:rPr>
        <w:t xml:space="preserve"> Пунктом 2 статьи 1539 ГК РФ предусмотрено: «Не допускается использование коммерческого обозначения, способного ввести в заблуждение относительно принадлежности предприятия определенному лицу, в частности обозначения, сходного до степени смешения с фирменным наименованием, товарным знаком или защищенным исключительным правом коммерческим обозначением, принадлежащим другому лицу, у которого соответствующее исключительное право возникло ранее.» Право истца возникло ранее использования ответчиком.</w:t>
      </w:r>
    </w:p>
    <w:p>
      <w:pPr>
        <w:spacing w:after="120" w:line="276" w:lineRule="auto"/>
        <w:ind w:firstLine="709"/>
        <w:jc w:val="both"/>
      </w:pPr>
      <w:r>
        <w:rPr>
          <w:rFonts w:ascii="Times New Roman" w:hAnsi="Times New Roman"/>
          <w:b/>
          <w:i w:val="0"/>
          <w:sz w:val="24"/>
        </w:rPr>
        <w:t>Обязанность нарушителя.</w:t>
      </w:r>
      <w:r>
        <w:rPr>
          <w:rFonts w:ascii="Times New Roman" w:hAnsi="Times New Roman"/>
          <w:b w:val="0"/>
          <w:i w:val="0"/>
          <w:sz w:val="24"/>
        </w:rPr>
        <w:t xml:space="preserve"> Пунктом 3 статьи 1539 ГК РФ установлено: «Лицо, нарушившее правила пункта 2 настоящей статьи, обязано по требованию правообладателя прекратить использование коммерческого обозначения и возместить правообладателю причиненные убытки.»</w:t>
      </w:r>
    </w:p>
    <w:p>
      <w:pPr>
        <w:spacing w:after="120" w:line="276" w:lineRule="auto"/>
        <w:ind w:firstLine="709"/>
        <w:jc w:val="both"/>
      </w:pPr>
      <w:r>
        <w:rPr>
          <w:rFonts w:ascii="Times New Roman" w:hAnsi="Times New Roman"/>
          <w:b/>
          <w:i w:val="0"/>
          <w:sz w:val="24"/>
        </w:rPr>
        <w:t>Приоритет ранее возникшего права.</w:t>
      </w:r>
      <w:r>
        <w:rPr>
          <w:rFonts w:ascii="Times New Roman" w:hAnsi="Times New Roman"/>
          <w:b w:val="0"/>
          <w:i w:val="0"/>
          <w:sz w:val="24"/>
        </w:rPr>
        <w:t xml:space="preserve"> Абзацем первым пункта 6 статьи 1252 ГК РФ установлено: «Если различные средства индивидуализации (фирменное наименование, товарный знак, знак обслуживания, коммерческое обозначение) оказываются тождественными или сходными до степени смешения и в результате такого тождества или сходства могут быть введены в заблуждение потребители и (или) контрагенты, преимущество имеет средство индивидуализации, исключительное право на которое возникло ранее, либо в случаях установления конвенционного или выставочного приоритета средство индивидуализации, которое имеет более ранний приоритет.» Абзацем четвёртым того же пункта предусмотрено, что под частичным запретом использования понимается «в отношении коммерческого обозначения запрет его использования в пределах определенной территории и (или) в определенных видах деятельности.»</w:t>
      </w:r>
    </w:p>
    <w:p>
      <w:pPr>
        <w:spacing w:after="120" w:line="276" w:lineRule="auto"/>
        <w:ind w:firstLine="709"/>
        <w:jc w:val="both"/>
      </w:pPr>
      <w:r>
        <w:rPr>
          <w:rFonts w:ascii="Times New Roman" w:hAnsi="Times New Roman"/>
          <w:b/>
          <w:i w:val="0"/>
          <w:sz w:val="24"/>
        </w:rPr>
        <w:t>Способы защиты.</w:t>
      </w:r>
      <w:r>
        <w:rPr>
          <w:rFonts w:ascii="Times New Roman" w:hAnsi="Times New Roman"/>
          <w:b w:val="0"/>
          <w:i w:val="0"/>
          <w:sz w:val="24"/>
        </w:rPr>
        <w:t xml:space="preserve"> Пунктом 1 статьи 1252 ГК РФ установлено: «В случае нарушения исключительных прав на результаты интеллектуальной деятельности и на средства индивидуализации их защита осуществляется, в частности, путем предъявления в порядке, предусмотренном настоящим Кодексом, требования:» «2)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 «3) о возмещении убытков или в случаях, предусмотренных настоящим Кодексом, о выплате компенсации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 «4)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 «5) о публикации решения суда о допущенном нарушении с указанием действительного правообладателя - к нарушителю исключительного права.» Пунктом 1.1 той же статьи предусмотрено: «Нарушением исключительного права признается незаконное использование одного результата интеллектуальной деятельности или средства индивидуализации каким-либо одним способом.»</w:t>
      </w:r>
    </w:p>
    <w:p>
      <w:pPr>
        <w:spacing w:after="120" w:line="276" w:lineRule="auto"/>
        <w:ind w:firstLine="709"/>
        <w:jc w:val="both"/>
      </w:pPr>
      <w:r>
        <w:rPr>
          <w:rFonts w:ascii="Times New Roman" w:hAnsi="Times New Roman"/>
          <w:b/>
          <w:i w:val="0"/>
          <w:sz w:val="24"/>
        </w:rPr>
        <w:t>Исключительное право.</w:t>
      </w:r>
      <w:r>
        <w:rPr>
          <w:rFonts w:ascii="Times New Roman" w:hAnsi="Times New Roman"/>
          <w:b w:val="0"/>
          <w:i w:val="0"/>
          <w:sz w:val="24"/>
        </w:rPr>
        <w:t xml:space="preserve"> Пунктом 1 статьи 1229 Гражданского кодекса Российской Федерации (далее — ГК РФ) установлено: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настоящим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Требование о пресечении нарушения не требует обязательной претензии (абзац третий пункта 5.1 статьи 1252 ГК РФ: «Не требуется предъявления правообладателем претензии до предъявления им требования, указанного в подпунктах 1, 2, 4 и 5 пункта 1 и пункте 5 настоящей статьи.»); для требования о возмещении убытков истец направил ответчику претензию «[дата]».</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1229, 1252, 1539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Обязать ответчика прекратить использование коммерческого обозначения «[__]» [и сходных с ним обозначений] для индивидуализации предприятия по адресу [__] [в пределах территории [__] / в деятельности [__]], в том числе удалить его с вывески, рекламы и сайта.</w:t>
      </w:r>
    </w:p>
    <w:p>
      <w:pPr>
        <w:spacing w:after="120" w:line="276" w:lineRule="auto"/>
        <w:ind w:firstLine="709"/>
        <w:jc w:val="both"/>
      </w:pPr>
      <w:r>
        <w:rPr>
          <w:rFonts w:ascii="Times New Roman" w:hAnsi="Times New Roman"/>
          <w:b w:val="0"/>
          <w:i w:val="0"/>
          <w:sz w:val="24"/>
        </w:rPr>
        <w:t>2. [Обязать ответчика прекратить использование доменного имени [__].]</w:t>
      </w:r>
    </w:p>
    <w:p>
      <w:pPr>
        <w:spacing w:after="120" w:line="276" w:lineRule="auto"/>
        <w:ind w:firstLine="709"/>
        <w:jc w:val="both"/>
      </w:pPr>
      <w:r>
        <w:rPr>
          <w:rFonts w:ascii="Times New Roman" w:hAnsi="Times New Roman"/>
          <w:b w:val="0"/>
          <w:i w:val="0"/>
          <w:sz w:val="24"/>
        </w:rPr>
        <w:t>3. [Взыскать с ответчика убытки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Доказательства использования и известности обозначения истцом (фото вывески, реклама, публикации, отзывы, обороты).</w:t>
      </w:r>
    </w:p>
    <w:p>
      <w:pPr>
        <w:spacing w:after="40" w:line="276" w:lineRule="auto"/>
        <w:jc w:val="left"/>
      </w:pPr>
      <w:r>
        <w:rPr>
          <w:rFonts w:ascii="Times New Roman" w:hAnsi="Times New Roman"/>
          <w:b w:val="0"/>
          <w:i w:val="0"/>
          <w:sz w:val="24"/>
        </w:rPr>
        <w:t>4. Доказательства использования сходного обозначения ответчиком (фото, нотариальный осмотр сайта).</w:t>
      </w:r>
    </w:p>
    <w:p>
      <w:pPr>
        <w:spacing w:after="40" w:line="276" w:lineRule="auto"/>
        <w:jc w:val="left"/>
      </w:pPr>
      <w:r>
        <w:rPr>
          <w:rFonts w:ascii="Times New Roman" w:hAnsi="Times New Roman"/>
          <w:b w:val="0"/>
          <w:i w:val="0"/>
          <w:sz w:val="24"/>
        </w:rPr>
        <w:t>5. Доказательства смешения (отзывы, обращения потребителей).</w:t>
      </w:r>
    </w:p>
    <w:p>
      <w:pPr>
        <w:spacing w:after="40" w:line="276" w:lineRule="auto"/>
        <w:jc w:val="left"/>
      </w:pPr>
      <w:r>
        <w:rPr>
          <w:rFonts w:ascii="Times New Roman" w:hAnsi="Times New Roman"/>
          <w:b w:val="0"/>
          <w:i w:val="0"/>
          <w:sz w:val="24"/>
        </w:rPr>
        <w:t>6. Претензия (для требования об убытках) и доказательства направления.</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Иски о нарушении исключительных прав (о компенсации, запрете использования) рассматривает арбитражный суд субъекта РФ по общим правилам подсудности; Суд по интеллектуальным правам — кассационная инстанция по таким делам. Споры о предоставлении правовой охраны (о признании патента недействительным, о досрочном прекращении товарного знака) — первая инстанция СИП.</w:t>
      </w:r>
    </w:p>
    <w:p>
      <w:pPr>
        <w:spacing w:after="40" w:line="276" w:lineRule="auto"/>
        <w:jc w:val="both"/>
      </w:pPr>
      <w:r>
        <w:rPr>
          <w:rFonts w:ascii="Times New Roman" w:hAnsi="Times New Roman"/>
          <w:b w:val="0"/>
          <w:i/>
          <w:sz w:val="24"/>
        </w:rPr>
        <w:t>— Право на коммерческое обозначение прекращается, если правообладатель не использует его непрерывно в течение года (п. 2 ст. 1540 ГК РФ — изложено своими словами). Подтвердите непрерывность использования.</w:t>
      </w:r>
    </w:p>
    <w:p>
      <w:pPr>
        <w:spacing w:after="40" w:line="276" w:lineRule="auto"/>
        <w:jc w:val="both"/>
      </w:pPr>
      <w:r>
        <w:rPr>
          <w:rFonts w:ascii="Times New Roman" w:hAnsi="Times New Roman"/>
          <w:b w:val="0"/>
          <w:i/>
          <w:sz w:val="24"/>
        </w:rPr>
        <w:t>— Компенсация за нарушение права на коммерческое обозначение не предусмотрена; регистрация товарного знака существенно усиливает защиту.</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