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участник (участники) общества</w:t>
      </w:r>
      <w:r>
        <w:rPr>
          <w:rFonts w:ascii="Times New Roman" w:hAnsi="Times New Roman"/>
          <w:b w:val="0"/>
          <w:i w:val="0"/>
          <w:sz w:val="24"/>
        </w:rPr>
        <w:br/>
        <w:t>[Ф. И. О. / наименование участника]</w:t>
      </w:r>
      <w:r>
        <w:rPr>
          <w:rFonts w:ascii="Times New Roman" w:hAnsi="Times New Roman"/>
          <w:b w:val="0"/>
          <w:i w:val="0"/>
          <w:sz w:val="24"/>
        </w:rPr>
        <w:br/>
        <w:t>адрес: [__]</w:t>
      </w:r>
      <w:r>
        <w:rPr>
          <w:rFonts w:ascii="Times New Roman" w:hAnsi="Times New Roman"/>
          <w:b w:val="0"/>
          <w:i w:val="0"/>
          <w:sz w:val="24"/>
        </w:rPr>
        <w:br/>
        <w:t>[ИНН, ОГРН / паспортные данные]</w:t>
      </w:r>
      <w:r>
        <w:rPr>
          <w:rFonts w:ascii="Times New Roman" w:hAnsi="Times New Roman"/>
          <w:b w:val="0"/>
          <w:i w:val="0"/>
          <w:sz w:val="24"/>
        </w:rPr>
        <w:br/>
        <w:t>доля в уставном капитале: [__] %</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участник общества</w:t>
      </w:r>
      <w:r>
        <w:rPr>
          <w:rFonts w:ascii="Times New Roman" w:hAnsi="Times New Roman"/>
          <w:b w:val="0"/>
          <w:i w:val="0"/>
          <w:sz w:val="24"/>
        </w:rPr>
        <w:br/>
        <w:t>[Ф. И. О. / наименование]</w:t>
      </w:r>
      <w:r>
        <w:rPr>
          <w:rFonts w:ascii="Times New Roman" w:hAnsi="Times New Roman"/>
          <w:b w:val="0"/>
          <w:i w:val="0"/>
          <w:sz w:val="24"/>
        </w:rPr>
        <w:br/>
        <w:t>адрес: [__]</w:t>
      </w:r>
      <w:r>
        <w:rPr>
          <w:rFonts w:ascii="Times New Roman" w:hAnsi="Times New Roman"/>
          <w:b w:val="0"/>
          <w:i w:val="0"/>
          <w:sz w:val="24"/>
        </w:rPr>
        <w:br/>
        <w:t>доля в уставном капитале: [__] %</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ООО «[наименование]»</w:t>
      </w:r>
      <w:r>
        <w:rPr>
          <w:rFonts w:ascii="Times New Roman" w:hAnsi="Times New Roman"/>
          <w:b w:val="0"/>
          <w:i w:val="0"/>
          <w:sz w:val="24"/>
        </w:rPr>
        <w:br/>
        <w:t>адрес: [адрес из ЕГРЮЛ]</w:t>
      </w:r>
      <w:r>
        <w:rPr>
          <w:rFonts w:ascii="Times New Roman" w:hAnsi="Times New Roman"/>
          <w:b w:val="0"/>
          <w:i w:val="0"/>
          <w:sz w:val="24"/>
        </w:rPr>
        <w:br/>
        <w:t>ИНН [__], ОГРН [__]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15 000 руб. для ИП (подп. 4 п. 1 ст. 333.21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об исключении участника из общества с ограниченной ответственностью</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Истец является участником ООО «[наименование]» (далее — Общество) с долей [__] % уставного капитала; ответчику принадлежит доля [__] % (выписка из ЕГРЮЛ).</w:t>
      </w:r>
    </w:p>
    <w:p>
      <w:pPr>
        <w:spacing w:after="120" w:line="276" w:lineRule="auto"/>
        <w:ind w:firstLine="709"/>
        <w:jc w:val="both"/>
      </w:pPr>
      <w:r>
        <w:rPr>
          <w:rFonts w:ascii="Times New Roman" w:hAnsi="Times New Roman"/>
          <w:b w:val="0"/>
          <w:i w:val="0"/>
          <w:sz w:val="24"/>
        </w:rPr>
        <w:t>Ответчик грубо нарушает свои обязанности участника и существенно затрудняет деятельность Общества: [систематически, не менее [__] раз, не являлся на общие собрания, в результате чего не принимались решения об утверждении годовой отчётности, одобрении сделок, назначении директора (протоколы от «[дата]») / будучи директором, вывел активы Общества на аффилированное лицо, что установлено решением суда от «[дата]» по делу № [__] / создал конкурирующую компанию и переманил ключевых клиентов]. В результате Общество [не может вести деятельность / понесло убытки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Корпоративный спор.</w:t>
      </w:r>
      <w:r>
        <w:rPr>
          <w:rFonts w:ascii="Times New Roman" w:hAnsi="Times New Roman"/>
          <w:b w:val="0"/>
          <w:i w:val="0"/>
          <w:sz w:val="24"/>
        </w:rPr>
        <w:t xml:space="preserve"> Частью 1 статьи 225.1 АПК РФ установлено: «Арбитражные суды рассматривают дела по спорам, связанным с созданием юридического лица, управлением им или участием в юридическом лице, являющемся коммерческой организацией, а также некоммерческой организацией, объединяющей коммерческие организации и (или) индивидуальных предпринимателей (далее - корпоративные споры), в том числе по следующим корпоративным спорам:» «5) споры, связанные с эмиссией ценных бумаг, в том числе с оспариванием ненормативных правовых актов, решений и действий (бездействия) государственных органов, органов местного самоуправления, иных органов, должностных лиц, решений органов управления эмитента, с оспариванием сделок, совершенных в процессе размещения эмиссионных ценных бумаг, отчетов (уведомлений) об итогах выпуска (дополнительного выпуска) эмиссионных ценных бумаг» Спор относится к спорам, связанным с участием в юридическом лице (пункт 2 части 1 статьи 225.1 АПК РФ) и подсуден арбитражному суду по месту нахождения общества (часть 4.1 статьи 38 АПК РФ).</w:t>
      </w:r>
    </w:p>
    <w:p>
      <w:pPr>
        <w:spacing w:after="120" w:line="276" w:lineRule="auto"/>
        <w:ind w:firstLine="709"/>
        <w:jc w:val="both"/>
      </w:pPr>
      <w:r>
        <w:rPr>
          <w:rFonts w:ascii="Times New Roman" w:hAnsi="Times New Roman"/>
          <w:b/>
          <w:i w:val="0"/>
          <w:sz w:val="24"/>
        </w:rPr>
        <w:t>Право требовать исключения.</w:t>
      </w:r>
      <w:r>
        <w:rPr>
          <w:rFonts w:ascii="Times New Roman" w:hAnsi="Times New Roman"/>
          <w:b w:val="0"/>
          <w:i w:val="0"/>
          <w:sz w:val="24"/>
        </w:rPr>
        <w:t xml:space="preserve"> Абзацем четвёртым пункта 1 статьи 67 ГК РФ установлено, что участник общества вправе «требовать исключения другого участника из товарищества или общества (кроме публичных акционерных обществ) в судебном порядке с выплатой ему действительной стоимости его доли участия, если такой участник своими действиями (бездействием) причинил существенный вред товариществу или обществу либо иным образом существенно затрудняет его деятельность и достижение целей, ради которых оно создавалось, в том числе грубо нарушая свои обязанности, предусмотренные законом или учредительными документами товарищества или общества. Отказ от этого права или его ограничение ничтожны.» Статьёй 10 Федерального закона от 08.02.1998 № 14-ФЗ «Об обществах с ограниченной ответственностью» (далее — Закон об ООО) предусмотрено: «Участники общества, доли которых в совокупности составляют не менее чем десять процентов уставного капитала общества, вправе требовать в судебном порядке исключения из общества участника, который грубо нарушает свои обязанности либо своими действиями (бездействием) делает невозможной деятельность общества или существенно ее затрудняет.» Истцу принадлежит [__] % уставного капитала.</w:t>
      </w:r>
    </w:p>
    <w:p>
      <w:pPr>
        <w:spacing w:after="120" w:line="276" w:lineRule="auto"/>
        <w:ind w:firstLine="709"/>
        <w:jc w:val="both"/>
      </w:pPr>
      <w:r>
        <w:rPr>
          <w:rFonts w:ascii="Times New Roman" w:hAnsi="Times New Roman"/>
          <w:b/>
          <w:i w:val="0"/>
          <w:sz w:val="24"/>
        </w:rPr>
        <w:t>Обязанности участника.</w:t>
      </w:r>
      <w:r>
        <w:rPr>
          <w:rFonts w:ascii="Times New Roman" w:hAnsi="Times New Roman"/>
          <w:b w:val="0"/>
          <w:i w:val="0"/>
          <w:sz w:val="24"/>
        </w:rPr>
        <w:t xml:space="preserve"> Пунктом 4 статьи 65.2 ГК РФ установлено, что участник корпорации обязан «участвовать в принятии корпоративных решений, без которых корпорация не может продолжать свою деятельность в соответствии с законом, если его участие необходимо для принятия таких решений»; «не совершать действия, заведомо направленные на причинение вреда корпорации»; «не совершать действия (бездействие), которые существенно затрудняют или делают невозможным достижение целей, ради которых создана корпорация.».</w:t>
      </w:r>
    </w:p>
    <w:p>
      <w:pPr>
        <w:spacing w:after="120" w:line="276" w:lineRule="auto"/>
        <w:ind w:firstLine="709"/>
        <w:jc w:val="both"/>
      </w:pPr>
      <w:r>
        <w:rPr>
          <w:rFonts w:ascii="Times New Roman" w:hAnsi="Times New Roman"/>
          <w:b/>
          <w:i w:val="0"/>
          <w:sz w:val="24"/>
        </w:rPr>
        <w:t>Грубость нарушения.</w:t>
      </w:r>
      <w:r>
        <w:rPr>
          <w:rFonts w:ascii="Times New Roman" w:hAnsi="Times New Roman"/>
          <w:b w:val="0"/>
          <w:i w:val="0"/>
          <w:sz w:val="24"/>
        </w:rPr>
        <w:t xml:space="preserve"> Нарушения ответчика носят систематический характер, повлекли [невозможность принятия решений / существенный вред] и не могут быть устранены иначе, чем исключением ответчика. Меры по урегулированию (предложения о выкупе доли, о мировом соглашении) не дали результата.</w:t>
      </w:r>
    </w:p>
    <w:p>
      <w:pPr>
        <w:spacing w:after="120" w:line="276" w:lineRule="auto"/>
        <w:ind w:firstLine="709"/>
        <w:jc w:val="both"/>
      </w:pPr>
      <w:r>
        <w:rPr>
          <w:rFonts w:ascii="Times New Roman" w:hAnsi="Times New Roman"/>
          <w:b/>
          <w:i w:val="0"/>
          <w:sz w:val="24"/>
        </w:rPr>
        <w:t>Последствия исключения.</w:t>
      </w:r>
      <w:r>
        <w:rPr>
          <w:rFonts w:ascii="Times New Roman" w:hAnsi="Times New Roman"/>
          <w:b w:val="0"/>
          <w:i w:val="0"/>
          <w:sz w:val="24"/>
        </w:rPr>
        <w:t xml:space="preserve"> Пунктом 4 статьи 23 Закона об ООО предусмотрено: «Доля участника общества, исключенного из общества, переходит к обществу. При этом общество обязано выплатить исключенному участнику общества действительную стоимость его доли, которая определяется по данным бухгалтерской отчетности общества за последний отчетный период, предшествующий дате вступления в законную силу решения суда об исключении, или с согласия исключенного участника общества выдать ему в натуре имущество такой же стоимости.»</w:t>
      </w:r>
    </w:p>
    <w:p>
      <w:pPr>
        <w:spacing w:after="120" w:line="276" w:lineRule="auto"/>
        <w:ind w:firstLine="709"/>
        <w:jc w:val="both"/>
      </w:pPr>
      <w:r>
        <w:rPr>
          <w:rFonts w:ascii="Times New Roman" w:hAnsi="Times New Roman"/>
          <w:b/>
          <w:i w:val="0"/>
          <w:sz w:val="24"/>
        </w:rPr>
        <w:t>Информация о корпоративном споре.</w:t>
      </w:r>
      <w:r>
        <w:rPr>
          <w:rFonts w:ascii="Times New Roman" w:hAnsi="Times New Roman"/>
          <w:b w:val="0"/>
          <w:i w:val="0"/>
          <w:sz w:val="24"/>
        </w:rPr>
        <w:t xml:space="preserve"> Частью 3 статьи 225.4 АПК РФ предусмотрено: «В определении о принятии искового заявления, заявления к производству арбитражный суд может указать на обязанность юридического лица, указанного в части 2 настоящей статьи, уведомить о возбуждении производства по делу, предмете и об основании заявленного в арбитражный суд требования, об иных обстоятельствах спора участников этого юридического лица, лиц, входящих в его органы управления и органы контроля, а также держателя реестра владельцев ценных бумаг этого юридического лица и (или) депозитария, осуществляющих учет прав на эмиссионные ценные бумаги этого юридического лица.»</w:t>
      </w:r>
    </w:p>
    <w:p>
      <w:pPr>
        <w:spacing w:after="120" w:line="276" w:lineRule="auto"/>
        <w:jc w:val="center"/>
      </w:pPr>
      <w:r>
        <w:rPr>
          <w:rFonts w:ascii="Times New Roman" w:hAnsi="Times New Roman"/>
          <w:b/>
          <w:i w:val="0"/>
          <w:sz w:val="24"/>
        </w:rPr>
        <w:t>III. Досудебное урегулирование</w:t>
      </w:r>
    </w:p>
    <w:p>
      <w:pPr>
        <w:spacing w:after="120" w:line="276" w:lineRule="auto"/>
        <w:ind w:firstLine="709"/>
        <w:jc w:val="both"/>
      </w:pPr>
      <w:r>
        <w:rPr>
          <w:rFonts w:ascii="Times New Roman" w:hAnsi="Times New Roman"/>
          <w:b w:val="0"/>
          <w:i w:val="0"/>
          <w:sz w:val="24"/>
        </w:rPr>
        <w:t>Корпоративный спор по заявленному требованию не относится к спорам о взыскании денежных средств из договоров, сделок или неосновательного обогащения, для которых часть 5 статьи 4 АПК РФ устанавливает обязательный претензионный порядок.</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Частью 4.1 статьи 38 АПК РФ установлена исключительная подсудность: «Исковое заявление или заявление по спору, указанному в статье 225.1 настоящего Кодекса, подается в арбитражный суд по адресу юридического лица, указанного в статье 225.1 настоящего Кодекса.» Общество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23 Закона об ООО, статьями 65.2, 67 Гражданского кодекса Российской Федерации, статьями 4, 38, 101, 106, 110, 125, 126, 225.1, 225.4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Исключить [Ф. И. О. / наименование ответчика] из состава участников ООО «[наименование]» (ОГРН [__]).</w:t>
      </w:r>
    </w:p>
    <w:p>
      <w:pPr>
        <w:spacing w:after="120" w:line="276" w:lineRule="auto"/>
        <w:ind w:firstLine="709"/>
        <w:jc w:val="both"/>
      </w:pPr>
      <w:r>
        <w:rPr>
          <w:rFonts w:ascii="Times New Roman" w:hAnsi="Times New Roman"/>
          <w:b w:val="0"/>
          <w:i w:val="0"/>
          <w:sz w:val="24"/>
        </w:rPr>
        <w:t>2.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Выписка из ЕГРЮЛ в отношении Общества, устав Общества.</w:t>
      </w:r>
    </w:p>
    <w:p>
      <w:pPr>
        <w:spacing w:after="40" w:line="276" w:lineRule="auto"/>
        <w:jc w:val="left"/>
      </w:pPr>
      <w:r>
        <w:rPr>
          <w:rFonts w:ascii="Times New Roman" w:hAnsi="Times New Roman"/>
          <w:b w:val="0"/>
          <w:i w:val="0"/>
          <w:sz w:val="24"/>
        </w:rPr>
        <w:t>4. Доказательства грубых нарушений (уведомления о собраниях и протоколы, судебные акты, документы о выводе активов).</w:t>
      </w:r>
    </w:p>
    <w:p>
      <w:pPr>
        <w:spacing w:after="40" w:line="276" w:lineRule="auto"/>
        <w:jc w:val="left"/>
      </w:pPr>
      <w:r>
        <w:rPr>
          <w:rFonts w:ascii="Times New Roman" w:hAnsi="Times New Roman"/>
          <w:b w:val="0"/>
          <w:i w:val="0"/>
          <w:sz w:val="24"/>
        </w:rPr>
        <w:t>5. Доказательства последствий нарушений для Общества.</w:t>
      </w:r>
    </w:p>
    <w:p>
      <w:pPr>
        <w:spacing w:after="40" w:line="276" w:lineRule="auto"/>
        <w:jc w:val="left"/>
      </w:pPr>
      <w:r>
        <w:rPr>
          <w:rFonts w:ascii="Times New Roman" w:hAnsi="Times New Roman"/>
          <w:b w:val="0"/>
          <w:i w:val="0"/>
          <w:sz w:val="24"/>
        </w:rPr>
        <w:t>6. Доказательства направления копии иска ответчику и Обществу.</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Корпоративные споры рассматриваются арбитражным судом по месту нахождения юридического лица (ч. 4.1 ст. 38 АПК РФ) независимо от состава сторон, в том числе с участием граждан.</w:t>
      </w:r>
    </w:p>
    <w:p>
      <w:pPr>
        <w:spacing w:after="40" w:line="276" w:lineRule="auto"/>
        <w:jc w:val="both"/>
      </w:pPr>
      <w:r>
        <w:rPr>
          <w:rFonts w:ascii="Times New Roman" w:hAnsi="Times New Roman"/>
          <w:b w:val="0"/>
          <w:i/>
          <w:sz w:val="24"/>
        </w:rPr>
        <w:t>— Исключение — крайняя мера; суды проверяют, нельзя ли решить конфликт иначе, и не используется ли иск как способ «вытеснить» неугодного участника. Опишите систематичность и тяжесть нарушений.</w:t>
      </w:r>
    </w:p>
    <w:p>
      <w:pPr>
        <w:spacing w:after="40" w:line="276" w:lineRule="auto"/>
        <w:jc w:val="both"/>
      </w:pPr>
      <w:r>
        <w:rPr>
          <w:rFonts w:ascii="Times New Roman" w:hAnsi="Times New Roman"/>
          <w:b w:val="0"/>
          <w:i/>
          <w:sz w:val="24"/>
        </w:rPr>
        <w:t>— В обществе с двумя участниками по 50 % исключение одного другим возможно, но суды особенно тщательно оценивают, кто виноват в корпоративном конфликте.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