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организация (ИП)</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автор публикации (владелец сайта)</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15 000 руб. для ИП (подп. 4 п. 1 ст. 333.21 НК РФ)</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признании сведений, размещённых в сети «Интернет», не соответствующими действительности и порочащими и об их удалении</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На [сайте [адрес] / странице в социальной сети / площадке отзывов [наименование] / маркетплейсе] размещены публикации [отзывы] об истце следующего содержания: «[цитаты]» (URL: [__]). Публикации размещены ответчиком [установлен по данным владельца сайта / регистратора домена / сам сайт принадлежит ответчику]. Размещение зафиксировано нотариальным протоколом осмотра от «[дата]».</w:t>
      </w:r>
    </w:p>
    <w:p>
      <w:pPr>
        <w:spacing w:after="120" w:line="276" w:lineRule="auto"/>
        <w:ind w:firstLine="709"/>
        <w:jc w:val="both"/>
      </w:pPr>
      <w:r>
        <w:rPr>
          <w:rFonts w:ascii="Times New Roman" w:hAnsi="Times New Roman"/>
          <w:b w:val="0"/>
          <w:i w:val="0"/>
          <w:sz w:val="24"/>
        </w:rPr>
        <w:t>Сведения не соответствуют действительности [описание; если это «отзыв клиента» — лицо не являлось клиентом истца, отзыв размещён конкурентом в рамках кампании, что подтверждается [IP-адресами, совпадением реквизитов, перепиской]]. Сведения порочат деловую репутацию истца и влияют на поток клиентов: [снижение рейтинга, обращений, продаж].</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Подведомственность.</w:t>
      </w:r>
      <w:r>
        <w:rPr>
          <w:rFonts w:ascii="Times New Roman" w:hAnsi="Times New Roman"/>
          <w:b w:val="0"/>
          <w:i w:val="0"/>
          <w:sz w:val="24"/>
        </w:rPr>
        <w:t xml:space="preserve"> Частью 6 статьи 27 АПК РФ установлено: «Независимо от того, являются ли участниками правоотношений, из которых возникли спор или требование, юридические лица, индивидуальные предприниматели или иные организации и граждане, арбитражные суды рассматривают дела:» «7) о защите деловой репутации в сфере предпринимательской и иной экономической деятельности»</w:t>
      </w:r>
    </w:p>
    <w:p>
      <w:pPr>
        <w:spacing w:after="120" w:line="276" w:lineRule="auto"/>
        <w:ind w:firstLine="709"/>
        <w:jc w:val="both"/>
      </w:pPr>
      <w:r>
        <w:rPr>
          <w:rFonts w:ascii="Times New Roman" w:hAnsi="Times New Roman"/>
          <w:b/>
          <w:i w:val="0"/>
          <w:sz w:val="24"/>
        </w:rPr>
        <w:t>Деловая репутация.</w:t>
      </w:r>
      <w:r>
        <w:rPr>
          <w:rFonts w:ascii="Times New Roman" w:hAnsi="Times New Roman"/>
          <w:b w:val="0"/>
          <w:i w:val="0"/>
          <w:sz w:val="24"/>
        </w:rPr>
        <w:t xml:space="preserve"> Пунктом 1 статьи 150 Гражданского кодекса Российской Федерации (далее — ГК РФ) установлено: «Жизнь и здоровье, достоинство личности, личная неприкосновенность, честь и доброе имя, деловая репутация, неприкосновенность частной жизни, неприкосновенность жилища, личная и семейная тайна, свобода передвижения, свобода выбора места пребывания и жительства, имя гражданина, авторство, иные нематериальные блага, принадлежащие гражданину от рождения или в силу закона, неотчуждаемы и непередаваемы иным способом.» Пунктом 11 статьи 152 ГК РФ предусмотрено: «Правила настоящей статьи о защите деловой репутации гражданина, за исключением положений о компенсации морального вреда, соответственно применяются к защите деловой репутации юридического лица.»</w:t>
      </w:r>
    </w:p>
    <w:p>
      <w:pPr>
        <w:spacing w:after="120" w:line="276" w:lineRule="auto"/>
        <w:ind w:firstLine="709"/>
        <w:jc w:val="both"/>
      </w:pPr>
      <w:r>
        <w:rPr>
          <w:rFonts w:ascii="Times New Roman" w:hAnsi="Times New Roman"/>
          <w:b/>
          <w:i w:val="0"/>
          <w:sz w:val="24"/>
        </w:rPr>
        <w:t>Удаление сведений из интернета.</w:t>
      </w:r>
      <w:r>
        <w:rPr>
          <w:rFonts w:ascii="Times New Roman" w:hAnsi="Times New Roman"/>
          <w:b w:val="0"/>
          <w:i w:val="0"/>
          <w:sz w:val="24"/>
        </w:rPr>
        <w:t xml:space="preserve"> Пунктом 5 статьи 152 ГК РФ установлено: «Если сведения, порочащие честь, достоинство или деловую репутацию гражданина, оказались после их распространения доступными в сети "Интернет", гражданин вправе требовать удаления соответствующей информации, а также опровержения указанных сведений способом, обеспечивающим доведение опровержения до пользователей сети "Интернет".» Пунктом 4 той же статьи предусмотрено: «В случаях, когда сведения, порочащие честь, достоинство или деловую репутацию гражданина, стали широко известны и в связи с этим опровержение невозможно довести до всеобщего сведения, гражданин вправе требовать удаления соответствующей информации, а также пресечения или запрещения дальнейшего распространения указанных сведений путем изъятия и уничтожения без какой бы то ни было компенсации изготовленных в целях введения в гражданский оборот экземпляров материальных носителей, содержащих указанные сведения, если без уничтожения таких экземпляров материальных носителей удаление соответствующей информации невозможно.»</w:t>
      </w:r>
    </w:p>
    <w:p>
      <w:pPr>
        <w:spacing w:after="120" w:line="276" w:lineRule="auto"/>
        <w:ind w:firstLine="709"/>
        <w:jc w:val="both"/>
      </w:pPr>
      <w:r>
        <w:rPr>
          <w:rFonts w:ascii="Times New Roman" w:hAnsi="Times New Roman"/>
          <w:b/>
          <w:i w:val="0"/>
          <w:sz w:val="24"/>
        </w:rPr>
        <w:t>Опровержение.</w:t>
      </w:r>
      <w:r>
        <w:rPr>
          <w:rFonts w:ascii="Times New Roman" w:hAnsi="Times New Roman"/>
          <w:b w:val="0"/>
          <w:i w:val="0"/>
          <w:sz w:val="24"/>
        </w:rPr>
        <w:t xml:space="preserve"> Пунктом 1 статьи 152 ГК РФ установлено: «Гражданин вправе требовать по суду опровержения порочащих его честь, достоинство или деловую репутацию сведений, если распространивший такие сведения не докажет, что они соответствуют действительности. Опровержение должно быть сделано тем же способом, которым были распространены сведения о гражданине, или другим аналогичным способом.»</w:t>
      </w:r>
    </w:p>
    <w:p>
      <w:pPr>
        <w:spacing w:after="120" w:line="276" w:lineRule="auto"/>
        <w:ind w:firstLine="709"/>
        <w:jc w:val="both"/>
      </w:pPr>
      <w:r>
        <w:rPr>
          <w:rFonts w:ascii="Times New Roman" w:hAnsi="Times New Roman"/>
          <w:b/>
          <w:i w:val="0"/>
          <w:sz w:val="24"/>
        </w:rPr>
        <w:t>Недостоверные сведения, не являющиеся порочащими.</w:t>
      </w:r>
      <w:r>
        <w:rPr>
          <w:rFonts w:ascii="Times New Roman" w:hAnsi="Times New Roman"/>
          <w:b w:val="0"/>
          <w:i w:val="0"/>
          <w:sz w:val="24"/>
        </w:rPr>
        <w:t xml:space="preserve"> Пунктом 10 статьи 152 ГК РФ установлено: «Правила пунктов 1 - 9 настоящей статьи, за исключением положений о компенсации морального вреда, могут быть применены судом также к случаям распространения любых не соответствующих действительности сведений о гражданине, если такой гражданин докажет несоответствие указанных сведений действительности. Срок исковой давности по требованиям, предъявляемым в связи с распространением указанных сведений в средствах массовой информации, составляет один год со дня опубликования таких сведений в соответствующих средствах массовой информации.»</w:t>
      </w:r>
    </w:p>
    <w:p>
      <w:pPr>
        <w:spacing w:after="120" w:line="276" w:lineRule="auto"/>
        <w:ind w:firstLine="709"/>
        <w:jc w:val="both"/>
      </w:pPr>
      <w:r>
        <w:rPr>
          <w:rFonts w:ascii="Times New Roman" w:hAnsi="Times New Roman"/>
          <w:b/>
          <w:i w:val="0"/>
          <w:sz w:val="24"/>
        </w:rPr>
        <w:t>Предмет доказывания.</w:t>
      </w:r>
      <w:r>
        <w:rPr>
          <w:rFonts w:ascii="Times New Roman" w:hAnsi="Times New Roman"/>
          <w:b w:val="0"/>
          <w:i w:val="0"/>
          <w:sz w:val="24"/>
        </w:rPr>
        <w:t xml:space="preserve"> Для удовлетворения иска необходимы: факт распространения сведений ответчиком, порочащий характер сведений и их несоответствие действительности. Бремя доказывания соответствия сведений действительности лежит на ответчике; истец доказывает факт распространения и порочащий характер. Порочащими являются утверждения о нарушении законодательства, недобросовестности в предпринимательской деятельности, нарушении деловой этики, которые умаляют деловую репутацию. Оценочные суждения и мнения, которые не могут быть проверены на соответствие действительности, предметом опровержения не являются.</w:t>
      </w:r>
    </w:p>
    <w:p>
      <w:pPr>
        <w:spacing w:after="120" w:line="276" w:lineRule="auto"/>
        <w:ind w:firstLine="709"/>
        <w:jc w:val="both"/>
      </w:pPr>
      <w:r>
        <w:rPr>
          <w:rFonts w:ascii="Times New Roman" w:hAnsi="Times New Roman"/>
          <w:b/>
          <w:i w:val="0"/>
          <w:sz w:val="24"/>
        </w:rPr>
        <w:t>Отзывы как форма распространения.</w:t>
      </w:r>
      <w:r>
        <w:rPr>
          <w:rFonts w:ascii="Times New Roman" w:hAnsi="Times New Roman"/>
          <w:b w:val="0"/>
          <w:i w:val="0"/>
          <w:sz w:val="24"/>
        </w:rPr>
        <w:t xml:space="preserve"> Отзыв, содержащий утверждения о фактах (например, «организация не возвращает деньги», «продаёт подделки»), а не только эмоциональную оценку, подлежит проверке на соответствие действительности. Право потребителя на свободное выражение мнения не распространяется на распространение ложных фактов.</w:t>
      </w:r>
    </w:p>
    <w:p>
      <w:pPr>
        <w:spacing w:after="120" w:line="276" w:lineRule="auto"/>
        <w:jc w:val="center"/>
      </w:pPr>
      <w:r>
        <w:rPr>
          <w:rFonts w:ascii="Times New Roman" w:hAnsi="Times New Roman"/>
          <w:b/>
          <w:i w:val="0"/>
          <w:sz w:val="24"/>
        </w:rPr>
        <w:t>III. Досудебное урегулирование</w:t>
      </w:r>
    </w:p>
    <w:p>
      <w:pPr>
        <w:spacing w:after="120" w:line="276" w:lineRule="auto"/>
        <w:ind w:firstLine="709"/>
        <w:jc w:val="both"/>
      </w:pPr>
      <w:r>
        <w:rPr>
          <w:rFonts w:ascii="Times New Roman" w:hAnsi="Times New Roman"/>
          <w:b w:val="0"/>
          <w:i w:val="0"/>
          <w:sz w:val="24"/>
        </w:rPr>
        <w:t>Требование о защите деловой репутации не относится к спорам о взыскании денежных средств из договоров, для которых часть 5 статьи 4 АПК РФ устанавливает обязательный претензионный порядок. Истец тем не менее направил ответчику требование об опровержении и удалении сведений «[дата]»; оно не исполнено.</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Ответчик находится по адресу: [адрес из ЕГРЮЛ], что относится к компетенции Арбитражного суда [наименование].</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150, 152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Признать не соответствующими действительности и порочащими деловую репутацию истца сведения, размещённые в сети «Интернет» по адресам [URL]: «[цитаты]».</w:t>
      </w:r>
    </w:p>
    <w:p>
      <w:pPr>
        <w:spacing w:after="120" w:line="276" w:lineRule="auto"/>
        <w:ind w:firstLine="709"/>
        <w:jc w:val="both"/>
      </w:pPr>
      <w:r>
        <w:rPr>
          <w:rFonts w:ascii="Times New Roman" w:hAnsi="Times New Roman"/>
          <w:b w:val="0"/>
          <w:i w:val="0"/>
          <w:sz w:val="24"/>
        </w:rPr>
        <w:t>2. Обязать ответчика в течение [__] дней со дня вступления решения в законную силу удалить указанные сведения [и опубликовать опровержение на той же странице].</w:t>
      </w:r>
    </w:p>
    <w:p>
      <w:pPr>
        <w:spacing w:after="120" w:line="276" w:lineRule="auto"/>
        <w:ind w:firstLine="709"/>
        <w:jc w:val="both"/>
      </w:pPr>
      <w:r>
        <w:rPr>
          <w:rFonts w:ascii="Times New Roman" w:hAnsi="Times New Roman"/>
          <w:b w:val="0"/>
          <w:i w:val="0"/>
          <w:sz w:val="24"/>
        </w:rPr>
        <w:t>3. Взыскать с ответчика судебную неустойку в размере [сумма] рублей за каждый день неисполнения решения.</w:t>
      </w:r>
    </w:p>
    <w:p>
      <w:pPr>
        <w:spacing w:after="120" w:line="276" w:lineRule="auto"/>
        <w:ind w:firstLine="709"/>
        <w:jc w:val="both"/>
      </w:pPr>
      <w:r>
        <w:rPr>
          <w:rFonts w:ascii="Times New Roman" w:hAnsi="Times New Roman"/>
          <w:b w:val="0"/>
          <w:i w:val="0"/>
          <w:sz w:val="24"/>
        </w:rPr>
        <w:t>4.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Нотариальный протокол осмотра страниц с публикациями.</w:t>
      </w:r>
    </w:p>
    <w:p>
      <w:pPr>
        <w:spacing w:after="40" w:line="276" w:lineRule="auto"/>
        <w:jc w:val="left"/>
      </w:pPr>
      <w:r>
        <w:rPr>
          <w:rFonts w:ascii="Times New Roman" w:hAnsi="Times New Roman"/>
          <w:b w:val="0"/>
          <w:i w:val="0"/>
          <w:sz w:val="24"/>
        </w:rPr>
        <w:t>4. Доказательства принадлежности публикаций ответчику (ответы владельца сайта, регистратора, данные о владельце ресурса).</w:t>
      </w:r>
    </w:p>
    <w:p>
      <w:pPr>
        <w:spacing w:after="40" w:line="276" w:lineRule="auto"/>
        <w:jc w:val="left"/>
      </w:pPr>
      <w:r>
        <w:rPr>
          <w:rFonts w:ascii="Times New Roman" w:hAnsi="Times New Roman"/>
          <w:b w:val="0"/>
          <w:i w:val="0"/>
          <w:sz w:val="24"/>
        </w:rPr>
        <w:t>5. Доказательства несоответствия сведений действительности.</w:t>
      </w:r>
    </w:p>
    <w:p>
      <w:pPr>
        <w:spacing w:after="40" w:line="276" w:lineRule="auto"/>
        <w:jc w:val="left"/>
      </w:pPr>
      <w:r>
        <w:rPr>
          <w:rFonts w:ascii="Times New Roman" w:hAnsi="Times New Roman"/>
          <w:b w:val="0"/>
          <w:i w:val="0"/>
          <w:sz w:val="24"/>
        </w:rPr>
        <w:t>6. Заключение специалиста-лингвиста [если есть].</w:t>
      </w:r>
    </w:p>
    <w:p>
      <w:pPr>
        <w:spacing w:after="40" w:line="276" w:lineRule="auto"/>
        <w:jc w:val="left"/>
      </w:pPr>
      <w:r>
        <w:rPr>
          <w:rFonts w:ascii="Times New Roman" w:hAnsi="Times New Roman"/>
          <w:b w:val="0"/>
          <w:i w:val="0"/>
          <w:sz w:val="24"/>
        </w:rPr>
        <w:t>7.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8.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9.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Порочащий характер и разграничение утверждений о фактах и оценочных суждений часто устанавливает лингвистическая экспертиза — ходатайствуйте о ней или представьте заключение специалиста-лингвиста.</w:t>
      </w:r>
    </w:p>
    <w:p>
      <w:pPr>
        <w:spacing w:after="40" w:line="276" w:lineRule="auto"/>
        <w:jc w:val="both"/>
      </w:pPr>
      <w:r>
        <w:rPr>
          <w:rFonts w:ascii="Times New Roman" w:hAnsi="Times New Roman"/>
          <w:b w:val="0"/>
          <w:i/>
          <w:sz w:val="24"/>
        </w:rPr>
        <w:t>— Если автор неизвестен (анонимные отзывы), можно обратиться в суд с заявлением о признании сведений не соответствующими действительности в порядке особого производства (п. 8 ст. 152 ГК РФ) — см. категорию «Установление юридических фактов».</w:t>
      </w:r>
    </w:p>
    <w:p>
      <w:pPr>
        <w:spacing w:after="40" w:line="276" w:lineRule="auto"/>
        <w:jc w:val="both"/>
      </w:pPr>
      <w:r>
        <w:rPr>
          <w:rFonts w:ascii="Times New Roman" w:hAnsi="Times New Roman"/>
          <w:b w:val="0"/>
          <w:i/>
          <w:sz w:val="24"/>
        </w:rPr>
        <w:t>— Многие площадки отзывов удаляют материалы по решению суда или по обоснованной жалобе; начните с жалобы площадке — это быстрее.</w:t>
      </w:r>
    </w:p>
    <w:p>
      <w:pPr>
        <w:spacing w:after="40" w:line="276" w:lineRule="auto"/>
        <w:jc w:val="both"/>
      </w:pPr>
      <w:r>
        <w:rPr>
          <w:rFonts w:ascii="Times New Roman" w:hAnsi="Times New Roman"/>
          <w:b w:val="0"/>
          <w:i/>
          <w:sz w:val="24"/>
        </w:rPr>
        <w:t>— Судебная неустойка помогает добиться исполнения — без неё ответчики часто игнорируют решение.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