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 (залогодержатель)</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 (залогодатель)</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долга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по подп. 3 п. 1 ст. 333.19 НК РФ за требование об обращении взыскания (неимущественное)]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договору займа и обращении взыскания на заложенное имущество</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займа [№ __], по которому истец передал ответчику [сумма] рублей на срок до «[дата]» [под __ % годовых]. Передача денег подтверждается [распиской / платёжным поручением].</w:t>
      </w:r>
    </w:p>
    <w:p>
      <w:pPr>
        <w:spacing w:after="120" w:line="276" w:lineRule="auto"/>
        <w:ind w:firstLine="709"/>
        <w:jc w:val="both"/>
      </w:pPr>
      <w:r>
        <w:rPr>
          <w:rFonts w:ascii="Times New Roman" w:hAnsi="Times New Roman"/>
          <w:b w:val="0"/>
          <w:i w:val="0"/>
          <w:sz w:val="24"/>
        </w:rPr>
        <w:t>В обеспечение исполнения обязательств ответчика «[дата]» между сторонами заключён договор залога [№ __] (далее — Договор залога), по которому ответчик передал в залог истцу [описание имущества: автомобиль марки [__], [год] года выпуска, VIN [__], государственный регистрационный знак [__] / иное движимое имущество]. Стоимость предмета залога определена сторонами в размере [сумма] рублей (п. [__] Договора залога). Уведомление о залоге зарегистрировано в реестре уведомлений о залоге движимого имущества «[дата]» за № [номер].</w:t>
      </w:r>
    </w:p>
    <w:p>
      <w:pPr>
        <w:spacing w:after="120" w:line="276" w:lineRule="auto"/>
        <w:ind w:firstLine="709"/>
        <w:jc w:val="both"/>
      </w:pPr>
      <w:r>
        <w:rPr>
          <w:rFonts w:ascii="Times New Roman" w:hAnsi="Times New Roman"/>
          <w:b w:val="0"/>
          <w:i w:val="0"/>
          <w:sz w:val="24"/>
        </w:rPr>
        <w:t>Ответчик нарушил сроки возврата займа: [не произвёл ни одного платежа / с «[дата]» прекратил платежи]. Просрочка составляет [__] месяцев, сумма задолженности — [сумма] рублей, что превышает пять процентов стоимости предмета залога. Требование истца от «[дата]» о погашении долга оставлено без исполнения.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Долг по займу.</w:t>
      </w:r>
      <w:r>
        <w:rPr>
          <w:rFonts w:ascii="Times New Roman" w:hAnsi="Times New Roman"/>
          <w:b w:val="0"/>
          <w:i w:val="0"/>
          <w:sz w:val="24"/>
        </w:rPr>
        <w:t xml:space="preserve"> Согласно абзацу первому пункта 1 статьи 807 Гражданского кодекса Российской Федерации (далее —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[Если заём возвращается по частям:] В силу пункта 2 статьи 811 ГК РФ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Право залогодержателя.</w:t>
      </w:r>
      <w:r>
        <w:rPr>
          <w:rFonts w:ascii="Times New Roman" w:hAnsi="Times New Roman"/>
          <w:b w:val="0"/>
          <w:i w:val="0"/>
          <w:sz w:val="24"/>
        </w:rPr>
        <w:t xml:space="preserve"> Пунктом 1 статьи 334 ГК РФ определено: «В силу залога кредитор по обеспеченному залогом обязательству (залогодержатель) имеет право в случае неисполнения или ненадлежащего исполнения должником этого обязательства получить удовлетворение из стоимости заложенного имущества (предмета залога) преимущественно перед другими кредиторами лица, которому принадлежит заложенное имущество (залогодателя).» Статьёй 337 ГК РФ предусмотрено: «Если иное не предусмотрено законом или договором, залог обеспечивает требование в том объеме, какой оно имеет к моменту удовлетворения, в частности проценты, неустойку, возмещение убытков, причиненных просрочкой исполнения, а также возмещение необходимых расходов залогодержателя на содержание предмета залога и связанных с обращением взыскания на предмет залога и его реализацией расходов.»</w:t>
      </w:r>
    </w:p>
    <w:p>
      <w:pPr>
        <w:spacing w:after="120" w:line="276" w:lineRule="auto"/>
        <w:ind w:firstLine="709"/>
        <w:jc w:val="both"/>
      </w:pPr>
      <w:r>
        <w:rPr>
          <w:rFonts w:ascii="Times New Roman" w:hAnsi="Times New Roman"/>
          <w:b/>
          <w:i w:val="0"/>
          <w:sz w:val="24"/>
        </w:rPr>
        <w:t>Основания для обращения взыскания имеются.</w:t>
      </w:r>
      <w:r>
        <w:rPr>
          <w:rFonts w:ascii="Times New Roman" w:hAnsi="Times New Roman"/>
          <w:b w:val="0"/>
          <w:i w:val="0"/>
          <w:sz w:val="24"/>
        </w:rPr>
        <w:t xml:space="preserve"> Согласно пункту 1 статьи 348 ГК РФ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 Пунктом 2 той же статьи установлено: «2.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 1) сумма неисполненного обязательства составляет менее чем пять процентов от размера стоимости заложенного имущества; 2) период просрочки исполнения обязательства, обеспеченного залогом, составляет менее чем три месяца.» В рассматриваемом случае сумма неисполненного обязательства составляет [__] % стоимости предмета залога, а период просрочки — [__] месяцев, то есть оба условия, при которых обращение взыскания недопустимо, отсутствуют. [Если заём возвращается периодическими платежами:]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spacing w:after="120" w:line="276" w:lineRule="auto"/>
        <w:ind w:firstLine="709"/>
        <w:jc w:val="both"/>
      </w:pPr>
      <w:r>
        <w:rPr>
          <w:rFonts w:ascii="Times New Roman" w:hAnsi="Times New Roman"/>
          <w:b/>
          <w:i w:val="0"/>
          <w:sz w:val="24"/>
        </w:rPr>
        <w:t>Порядок обращения взыскания и реализации.</w:t>
      </w:r>
      <w:r>
        <w:rPr>
          <w:rFonts w:ascii="Times New Roman" w:hAnsi="Times New Roman"/>
          <w:b w:val="0"/>
          <w:i w:val="0"/>
          <w:sz w:val="24"/>
        </w:rPr>
        <w:t xml:space="preserve"> Пунктом 1 статьи 349 ГК РФ предусмотрено: «Обращение взыскания на заложенное имущество осуществляется по решению суда, если соглашением залогодателя и залогодержателя не предусмотрен внесудебный порядок обращения взыскания на заложенное имущество.» Внесудебный порядок обращения взыскания соглашением сторон [не предусмотрен / предусмотрен, но истец избирает судебный порядок]. Согласно пункту 1 статьи 350 ГК РФ «Реализация заложенного имущества, на которое взыскание обращено на основании решения суда, осуществляется путем продажи с публичных торгов в порядке, установленном настоящим Кодексом и процессуальным законодательством, если законом или соглашением между залогодержателем и залогодателем не установлено, что реализация предмета залога осуществляется в порядке, установленном абзацами вторым и третьим пункта 2 статьи 350.1 настоящего Кодекса.»</w:t>
      </w:r>
    </w:p>
    <w:p>
      <w:pPr>
        <w:spacing w:after="120" w:line="276" w:lineRule="auto"/>
        <w:ind w:firstLine="709"/>
        <w:jc w:val="both"/>
      </w:pPr>
      <w:r>
        <w:rPr>
          <w:rFonts w:ascii="Times New Roman" w:hAnsi="Times New Roman"/>
          <w:b/>
          <w:i w:val="0"/>
          <w:sz w:val="24"/>
        </w:rPr>
        <w:t>Залог действует в отношении третьих лиц.</w:t>
      </w:r>
      <w:r>
        <w:rPr>
          <w:rFonts w:ascii="Times New Roman" w:hAnsi="Times New Roman"/>
          <w:b w:val="0"/>
          <w:i w:val="0"/>
          <w:sz w:val="24"/>
        </w:rPr>
        <w:t xml:space="preserve"> Абзацем третьим пункта 4 статьи 339.1 ГК РФ установлено: «Залогодержатель в отношениях с третьими лицами вправе ссылаться на принадлежащее ему право залога только с момента совершения записи об учете залога, за исключением случаев, если третье лицо знало или должно было знать о существовании залога ранее этого. Отсутствие записи об учете не затрагивает отношения залогодателя с залогодержателем.» Уведомление о залоге зарегистрировано до [возможного] отчуждения имущества, поэтому залог сохраняет силу и при переходе права собственности.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334, 337, 348–350, 807–811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по договору займа [№ __] от «[дата]» в размере [сумма] рублей, в том числе: основной долг — [сумма] рублей; проценты за пользование займом — [сумма] рублей; проценты (неустойка) за просрочку — [сумма] рублей.</w:t>
      </w:r>
    </w:p>
    <w:p>
      <w:pPr>
        <w:spacing w:after="120" w:line="276" w:lineRule="auto"/>
        <w:ind w:firstLine="709"/>
        <w:jc w:val="both"/>
      </w:pPr>
      <w:r>
        <w:rPr>
          <w:rFonts w:ascii="Times New Roman" w:hAnsi="Times New Roman"/>
          <w:b w:val="0"/>
          <w:i w:val="0"/>
          <w:sz w:val="24"/>
        </w:rPr>
        <w:t>2. Обратить взыскание на заложенное имущество — [описание имущества, VIN / идентификационные признаки], принадлежащее ответчику, путём продажи с публичных торгов.</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договора займа и документа о передаче денег.</w:t>
      </w:r>
    </w:p>
    <w:p>
      <w:pPr>
        <w:spacing w:after="40" w:line="276" w:lineRule="auto"/>
        <w:jc w:val="left"/>
      </w:pPr>
      <w:r>
        <w:rPr>
          <w:rFonts w:ascii="Times New Roman" w:hAnsi="Times New Roman"/>
          <w:b w:val="0"/>
          <w:i w:val="0"/>
          <w:sz w:val="24"/>
        </w:rPr>
        <w:t>4. Копия договора залога.</w:t>
      </w:r>
    </w:p>
    <w:p>
      <w:pPr>
        <w:spacing w:after="40" w:line="276" w:lineRule="auto"/>
        <w:jc w:val="left"/>
      </w:pPr>
      <w:r>
        <w:rPr>
          <w:rFonts w:ascii="Times New Roman" w:hAnsi="Times New Roman"/>
          <w:b w:val="0"/>
          <w:i w:val="0"/>
          <w:sz w:val="24"/>
        </w:rPr>
        <w:t>5. Выписка из реестра уведомлений о залоге движимого имущества (сайт reestr-zalogov.ru).</w:t>
      </w:r>
    </w:p>
    <w:p>
      <w:pPr>
        <w:spacing w:after="40" w:line="276" w:lineRule="auto"/>
        <w:jc w:val="left"/>
      </w:pPr>
      <w:r>
        <w:rPr>
          <w:rFonts w:ascii="Times New Roman" w:hAnsi="Times New Roman"/>
          <w:b w:val="0"/>
          <w:i w:val="0"/>
          <w:sz w:val="24"/>
        </w:rPr>
        <w:t>6. Документы, подтверждающие принадлежность предмета залога ответчику (ПТС / свидетельство о регистрации ТС / иные).</w:t>
      </w:r>
    </w:p>
    <w:p>
      <w:pPr>
        <w:spacing w:after="40" w:line="276" w:lineRule="auto"/>
        <w:jc w:val="left"/>
      </w:pPr>
      <w:r>
        <w:rPr>
          <w:rFonts w:ascii="Times New Roman" w:hAnsi="Times New Roman"/>
          <w:b w:val="0"/>
          <w:i w:val="0"/>
          <w:sz w:val="24"/>
        </w:rPr>
        <w:t>7. Копия требования о погашении долга и доказательства его направления.</w:t>
      </w:r>
    </w:p>
    <w:p>
      <w:pPr>
        <w:spacing w:after="40" w:line="276" w:lineRule="auto"/>
        <w:jc w:val="left"/>
      </w:pPr>
      <w:r>
        <w:rPr>
          <w:rFonts w:ascii="Times New Roman" w:hAnsi="Times New Roman"/>
          <w:b w:val="0"/>
          <w:i w:val="0"/>
          <w:sz w:val="24"/>
        </w:rPr>
        <w:t>8. Расчёт задолженности.</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Начальную продажную цену движимого имущества суд в решении не устанавливает — её определяет судебный пристав в исполнительном производстве по оценке; просить суд об установлении цены нужно лишь для недвижимости (ипотеки).</w:t>
      </w:r>
    </w:p>
    <w:p>
      <w:pPr>
        <w:spacing w:after="40" w:line="276" w:lineRule="auto"/>
        <w:jc w:val="both"/>
      </w:pPr>
      <w:r>
        <w:rPr>
          <w:rFonts w:ascii="Times New Roman" w:hAnsi="Times New Roman"/>
          <w:b w:val="0"/>
          <w:i/>
          <w:sz w:val="24"/>
        </w:rPr>
        <w:t>— Если предмет залога — недвижимость, применяются правила Федерального закона «Об ипотеке (залоге недвижимости)», а иск суды нередко рассматривают по месту нахождения имущества; уточните подсудность и добавьте требование об установлении начальной продажной цены.</w:t>
      </w:r>
    </w:p>
    <w:p>
      <w:pPr>
        <w:spacing w:after="40" w:line="276" w:lineRule="auto"/>
        <w:jc w:val="both"/>
      </w:pPr>
      <w:r>
        <w:rPr>
          <w:rFonts w:ascii="Times New Roman" w:hAnsi="Times New Roman"/>
          <w:b w:val="0"/>
          <w:i/>
          <w:sz w:val="24"/>
        </w:rPr>
        <w:t>— Если имущество уже продано третьему лицу, привлеките нового собственника вторым ответчиком: залог следует за вещью, а добросовестным приобретатель не считается, если уведомление о залоге было в реестре.</w:t>
      </w:r>
    </w:p>
    <w:p>
      <w:pPr>
        <w:spacing w:after="40" w:line="276" w:lineRule="auto"/>
        <w:jc w:val="both"/>
      </w:pPr>
      <w:r>
        <w:rPr>
          <w:rFonts w:ascii="Times New Roman" w:hAnsi="Times New Roman"/>
          <w:b w:val="0"/>
          <w:i/>
          <w:sz w:val="24"/>
        </w:rPr>
        <w:t>— Вместе с иском заявите ходатайство о запрете регистрационных действий с предметом залога (ст. 139, 140 ГПК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