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 (поставщик,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выполненных до расторжения работ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работ, выполненных до расторжения государственного (муниципального) контракта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[государственному / муниципальному] контракту от «[дата]» № [__] (далее — Контракт) истец выполнял [вид работ] на объекте [наименование, адрес] ценой [сумма] рублей. «[дата]» Контракт расторгнут [по соглашению сторон / в связи с односторонним отказом [заказчика / подрядчика] / решением суда].</w:t>
      </w:r>
    </w:p>
    <w:p>
      <w:pPr>
        <w:spacing w:after="120" w:line="276" w:lineRule="auto"/>
        <w:ind w:firstLine="709"/>
        <w:jc w:val="both"/>
      </w:pPr>
      <w:r>
        <w:rPr>
          <w:rFonts w:ascii="Times New Roman" w:hAnsi="Times New Roman"/>
          <w:b w:val="0"/>
          <w:i w:val="0"/>
          <w:sz w:val="24"/>
        </w:rPr>
        <w:t>К моменту расторжения истец выполнил работы на сумму [сумма] рублей: [часть работ принята по документам о приёмке от «[дата]», часть — предъявлена заказчику «[дата]» и не принята без мотивированного отказа]. Результат работ передан заказчику и используется им [объект достраивается другим подрядчиком]. Ответчик оплатил [сумма] рублей; остаток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Расторжение контракта.</w:t>
      </w:r>
      <w:r>
        <w:rPr>
          <w:rFonts w:ascii="Times New Roman" w:hAnsi="Times New Roman"/>
          <w:b w:val="0"/>
          <w:i w:val="0"/>
          <w:sz w:val="24"/>
        </w:rPr>
        <w:t xml:space="preserve"> Частью 8 статьи 95 Закона № 44-ФЗ установлено: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pPr>
        <w:spacing w:after="120" w:line="276" w:lineRule="auto"/>
        <w:ind w:firstLine="709"/>
        <w:jc w:val="both"/>
      </w:pPr>
      <w:r>
        <w:rPr>
          <w:rFonts w:ascii="Times New Roman" w:hAnsi="Times New Roman"/>
          <w:b/>
          <w:i w:val="0"/>
          <w:sz w:val="24"/>
        </w:rPr>
        <w:t>Последствия расторжения.</w:t>
      </w:r>
      <w:r>
        <w:rPr>
          <w:rFonts w:ascii="Times New Roman" w:hAnsi="Times New Roman"/>
          <w:b w:val="0"/>
          <w:i w:val="0"/>
          <w:sz w:val="24"/>
        </w:rPr>
        <w:t xml:space="preserve"> Пунктом 2 статьи 453 ГК РФ предусмотрено: «При расторжении договора обязательства сторон прекращаются, если иное не предусмотрено законом, договором или не вытекает из существа обязательства.» Абзацем вторым пункта 4 той же статьи установлено: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Прекращение Контракта не освобождает заказчика от оплаты работ, выполненных до расторжения и имеющих для него потребительскую ценность.</w:t>
      </w:r>
    </w:p>
    <w:p>
      <w:pPr>
        <w:spacing w:after="120" w:line="276" w:lineRule="auto"/>
        <w:ind w:firstLine="709"/>
        <w:jc w:val="both"/>
      </w:pPr>
      <w:r>
        <w:rPr>
          <w:rFonts w:ascii="Times New Roman" w:hAnsi="Times New Roman"/>
          <w:b/>
          <w:i w:val="0"/>
          <w:sz w:val="24"/>
        </w:rPr>
        <w:t>Результат незавершённой работы.</w:t>
      </w:r>
      <w:r>
        <w:rPr>
          <w:rFonts w:ascii="Times New Roman" w:hAnsi="Times New Roman"/>
          <w:b w:val="0"/>
          <w:i w:val="0"/>
          <w:sz w:val="24"/>
        </w:rPr>
        <w:t xml:space="preserve"> Статьёй 729 ГК РФ установлено: «В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 Заказчик получил результат незавершённой работы и обязан компенсировать затраты истца.</w:t>
      </w:r>
    </w:p>
    <w:p>
      <w:pPr>
        <w:spacing w:after="120" w:line="276" w:lineRule="auto"/>
        <w:ind w:firstLine="709"/>
        <w:jc w:val="both"/>
      </w:pPr>
      <w:r>
        <w:rPr>
          <w:rFonts w:ascii="Times New Roman" w:hAnsi="Times New Roman"/>
          <w:b/>
          <w:i w:val="0"/>
          <w:sz w:val="24"/>
        </w:rPr>
        <w:t>Приёмка.</w:t>
      </w:r>
      <w:r>
        <w:rPr>
          <w:rFonts w:ascii="Times New Roman" w:hAnsi="Times New Roman"/>
          <w:b w:val="0"/>
          <w:i w:val="0"/>
          <w:sz w:val="24"/>
        </w:rPr>
        <w:t xml:space="preserve"> Пунктом 4 статьи 753 ГК РФ установлено: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pPr>
        <w:spacing w:after="120" w:line="276" w:lineRule="auto"/>
        <w:ind w:firstLine="709"/>
        <w:jc w:val="both"/>
      </w:pPr>
      <w:r>
        <w:rPr>
          <w:rFonts w:ascii="Times New Roman" w:hAnsi="Times New Roman"/>
          <w:b/>
          <w:i w:val="0"/>
          <w:sz w:val="24"/>
        </w:rPr>
        <w:t>Неосновательное обогащение (альтернативно).</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1 статьи 1105 ГК РФ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работы, выполненные до расторжения Контракта,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 95 Закона № 44-ФЗ, статьями 395, 453, 729, 753, 763, 1102, 1105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работ, выполненных по контракту от «[дата]» № [__] до его расторжения,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Контракт (выгрузка из ЕИС), документы о расторжении.</w:t>
      </w:r>
    </w:p>
    <w:p>
      <w:pPr>
        <w:spacing w:after="40" w:line="276" w:lineRule="auto"/>
        <w:jc w:val="left"/>
      </w:pPr>
      <w:r>
        <w:rPr>
          <w:rFonts w:ascii="Times New Roman" w:hAnsi="Times New Roman"/>
          <w:b w:val="0"/>
          <w:i w:val="0"/>
          <w:sz w:val="24"/>
        </w:rPr>
        <w:t>4. Документы о приёмке; акты КС-2, КС-3, направленные заказчику, и доказательства направления.</w:t>
      </w:r>
    </w:p>
    <w:p>
      <w:pPr>
        <w:spacing w:after="40" w:line="276" w:lineRule="auto"/>
        <w:jc w:val="left"/>
      </w:pPr>
      <w:r>
        <w:rPr>
          <w:rFonts w:ascii="Times New Roman" w:hAnsi="Times New Roman"/>
          <w:b w:val="0"/>
          <w:i w:val="0"/>
          <w:sz w:val="24"/>
        </w:rPr>
        <w:t>5. Исполнительная документация, акт фиксации объёма работ на дату расторжения.</w:t>
      </w:r>
    </w:p>
    <w:p>
      <w:pPr>
        <w:spacing w:after="40" w:line="276" w:lineRule="auto"/>
        <w:jc w:val="left"/>
      </w:pPr>
      <w:r>
        <w:rPr>
          <w:rFonts w:ascii="Times New Roman" w:hAnsi="Times New Roman"/>
          <w:b w:val="0"/>
          <w:i w:val="0"/>
          <w:sz w:val="24"/>
        </w:rPr>
        <w:t>6. Расчёт стоимости выполненных работ и процентов.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Документы о приёмке по контрактам, заключённым по итогам электронных процедур, формируются в ЕИС (ч. 7, 13 ст. 94 Закона № 44-ФЗ). Приложите выгрузки из ЕИС: контракт, документы о приёмке, решения о расторжении — суды ориентируются на них.</w:t>
      </w:r>
    </w:p>
    <w:p>
      <w:pPr>
        <w:spacing w:after="40" w:line="276" w:lineRule="auto"/>
        <w:jc w:val="both"/>
      </w:pPr>
      <w:r>
        <w:rPr>
          <w:rFonts w:ascii="Times New Roman" w:hAnsi="Times New Roman"/>
          <w:b w:val="0"/>
          <w:i/>
          <w:sz w:val="24"/>
        </w:rPr>
        <w:t>— Стоимость фактически выполненных работ почти всегда оспаривается — суд назначит строительную экспертизу. Зафиксируйте объём на дату расторжения с участием заказчика.</w:t>
      </w:r>
    </w:p>
    <w:p>
      <w:pPr>
        <w:spacing w:after="40" w:line="276" w:lineRule="auto"/>
        <w:jc w:val="both"/>
      </w:pPr>
      <w:r>
        <w:rPr>
          <w:rFonts w:ascii="Times New Roman" w:hAnsi="Times New Roman"/>
          <w:b w:val="0"/>
          <w:i/>
          <w:sz w:val="24"/>
        </w:rPr>
        <w:t>— Если расторжение произошло по вине подрядчика, заказчик заявит встречные требования (пени, убытки); учитывайте сальдо.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