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при цене иска до 50 000 рублей]</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 (бывший 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[недоплата за сверхурочную работу + компенсация]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оплаты сверхурочной работы, компенсации за задержку выплаты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Трудовым договором истцу установлена [пятидневная рабочая неделя продолжительностью 40 часов / сменный график, суммированный учёт рабочего времени с учётным периодом __]. В период с «[дата]» по «[дата]» истец по распоряжению [руководителя / по приказам от __] систематически работал сверх установленной продолжительности рабочего времени: [указать — ежедневно до 20:00 вместо 18:00; в учётном периоде отработано __ часов при норме __].</w:t>
      </w:r>
    </w:p>
    <w:p>
      <w:pPr>
        <w:spacing w:after="120" w:line="276" w:lineRule="auto"/>
        <w:ind w:firstLine="709"/>
        <w:jc w:val="both"/>
      </w:pPr>
      <w:r>
        <w:rPr>
          <w:rFonts w:ascii="Times New Roman" w:hAnsi="Times New Roman"/>
          <w:b w:val="0"/>
          <w:i w:val="0"/>
          <w:sz w:val="24"/>
        </w:rPr>
        <w:t>Всего за указанный период сверхурочно отработано [__] часов, что подтверждается [табелями учёта рабочего времени, данными системы контроля доступа (пропусков), служебной перепиской с отметками времени, путевыми листами, показаниями коллег]. Сверхурочная работа оплачена в одинарном размере [не оплачена вовсе], повышенная оплата не начислялась.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Понятие сверхурочной работы.</w:t>
      </w:r>
      <w:r>
        <w:rPr>
          <w:rFonts w:ascii="Times New Roman" w:hAnsi="Times New Roman"/>
          <w:b w:val="0"/>
          <w:i w:val="0"/>
          <w:sz w:val="24"/>
        </w:rPr>
        <w:t xml:space="preserve"> Частью 1 статьи 99 ТК РФ установлено: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Частью 6 той же статьи: «Продолжительность сверхурочной работы не должна превышать для каждого работника 4 часов в день и 120 часов в год, за исключением случаев, предусмотренных настоящим Кодексом. Продолжительность сверхурочной работы для каждого работника может быть увеличена до 240 часов в год, если это предусмотрено коллективным договором и (или) отраслевым (межотраслевым) соглашением, распространяющимся на данного работодателя.» Частью 7: «Работодатель обязан обеспечить точный учет продолжительности сверхурочной работы каждого работника.»</w:t>
      </w:r>
    </w:p>
    <w:p>
      <w:pPr>
        <w:spacing w:after="120" w:line="276" w:lineRule="auto"/>
        <w:ind w:firstLine="709"/>
        <w:jc w:val="both"/>
      </w:pPr>
      <w:r>
        <w:rPr>
          <w:rFonts w:ascii="Times New Roman" w:hAnsi="Times New Roman"/>
          <w:b/>
          <w:i w:val="0"/>
          <w:sz w:val="24"/>
        </w:rPr>
        <w:t>Оплата.</w:t>
      </w:r>
      <w:r>
        <w:rPr>
          <w:rFonts w:ascii="Times New Roman" w:hAnsi="Times New Roman"/>
          <w:b w:val="0"/>
          <w:i w:val="0"/>
          <w:sz w:val="24"/>
        </w:rPr>
        <w:t xml:space="preserve"> Частью 1 статьи 152 ТК РФ предусмотрено: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w:t>
      </w:r>
    </w:p>
    <w:p>
      <w:pPr>
        <w:spacing w:after="120" w:line="276" w:lineRule="auto"/>
        <w:ind w:firstLine="709"/>
        <w:jc w:val="both"/>
      </w:pPr>
      <w:r>
        <w:rPr>
          <w:rFonts w:ascii="Times New Roman" w:hAnsi="Times New Roman"/>
          <w:b w:val="0"/>
          <w:i w:val="0"/>
          <w:sz w:val="24"/>
        </w:rPr>
        <w:t>Таким образом, первые два часа сверхурочной работы подлежали оплате не менее чем в полуторном размере, последующие — не менее чем в двойном. Расчёт: [__ часов × 1,5 × часовая ставка + __ часов × 2 × часовая ставка] − [выплачено] = [сумма] рублей.</w:t>
      </w:r>
    </w:p>
    <w:p>
      <w:pPr>
        <w:spacing w:after="120" w:line="276" w:lineRule="auto"/>
        <w:ind w:firstLine="709"/>
        <w:jc w:val="both"/>
      </w:pPr>
      <w:r>
        <w:rPr>
          <w:rFonts w:ascii="Times New Roman" w:hAnsi="Times New Roman"/>
          <w:b/>
          <w:i w:val="0"/>
          <w:sz w:val="24"/>
        </w:rPr>
        <w:t>Право на своевременную оплату труда.</w:t>
      </w:r>
      <w:r>
        <w:rPr>
          <w:rFonts w:ascii="Times New Roman" w:hAnsi="Times New Roman"/>
          <w:b w:val="0"/>
          <w:i w:val="0"/>
          <w:sz w:val="24"/>
        </w:rPr>
        <w:t xml:space="preserve"> Абзацем пятым части 1 статьи 21 ТК РФ работнику гарантировано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Абзацем седьмым части 2 статьи 22 ТК РФ на работодателя возложена обязанность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pPr>
        <w:spacing w:after="120" w:line="276" w:lineRule="auto"/>
        <w:ind w:firstLine="709"/>
        <w:jc w:val="both"/>
      </w:pPr>
      <w:r>
        <w:rPr>
          <w:rFonts w:ascii="Times New Roman" w:hAnsi="Times New Roman"/>
          <w:b/>
          <w:i w:val="0"/>
          <w:sz w:val="24"/>
        </w:rPr>
        <w:t>Учёт рабочего времени — обязанность работодателя.</w:t>
      </w:r>
      <w:r>
        <w:rPr>
          <w:rFonts w:ascii="Times New Roman" w:hAnsi="Times New Roman"/>
          <w:b w:val="0"/>
          <w:i w:val="0"/>
          <w:sz w:val="24"/>
        </w:rPr>
        <w:t xml:space="preserve"> Работодатель обязан вести точный учёт сверхурочной работы каждого работника (ч. 7 ст. 99 ТК РФ). Если работодатель не представит табели и иные документы учёта, суд оценивает доказательства истца.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99, 152, 236, 237, 391–393 ТК РФ, статьями 29, 56, 57,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оплату сверхурочной работы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денежную компенсацию за задержку выплаты (ст. 236 ТК РФ) в размере [сумма] рублей и далее по день выплаты.</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4. Истребовать у ответчика табели учёта рабочего времени, графики работы и данные системы контроля доступа за период с «[дата]» по «[дата]» (ст. 57 ГПК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Доказательства переработки: копии табелей, графиков, служебных записок, переписки, данные пропускной системы, фото, путевые листы.</w:t>
      </w:r>
    </w:p>
    <w:p>
      <w:pPr>
        <w:spacing w:after="40" w:line="276" w:lineRule="auto"/>
        <w:jc w:val="left"/>
      </w:pPr>
      <w:r>
        <w:rPr>
          <w:rFonts w:ascii="Times New Roman" w:hAnsi="Times New Roman"/>
          <w:b w:val="0"/>
          <w:i w:val="0"/>
          <w:sz w:val="24"/>
        </w:rPr>
        <w:t>6. Расчёт оплаты сверхурочной работы с учётом повышенных коэффициентов.</w:t>
      </w:r>
    </w:p>
    <w:p>
      <w:pPr>
        <w:spacing w:after="40" w:line="276" w:lineRule="auto"/>
        <w:jc w:val="left"/>
      </w:pPr>
      <w:r>
        <w:rPr>
          <w:rFonts w:ascii="Times New Roman" w:hAnsi="Times New Roman"/>
          <w:b w:val="0"/>
          <w:i w:val="0"/>
          <w:sz w:val="24"/>
        </w:rPr>
        <w:t>7. Список свидетелей (коллег).</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 суммированном учёте рабочего времени сверхурочные считаются по итогам учётного периода, а не за каждый день.</w:t>
      </w:r>
    </w:p>
    <w:p>
      <w:pPr>
        <w:spacing w:after="40" w:line="276" w:lineRule="auto"/>
        <w:jc w:val="both"/>
      </w:pPr>
      <w:r>
        <w:rPr>
          <w:rFonts w:ascii="Times New Roman" w:hAnsi="Times New Roman"/>
          <w:b w:val="0"/>
          <w:i/>
          <w:sz w:val="24"/>
        </w:rPr>
        <w:t>— Иск о невыплаченной зарплате, включая оплату сверхурочной работы, можно подать в течение года со дня установленного срока выплаты (ч. 2 ст. 392 ТК РФ).</w:t>
      </w:r>
    </w:p>
    <w:p>
      <w:pPr>
        <w:spacing w:after="40" w:line="276" w:lineRule="auto"/>
        <w:jc w:val="both"/>
      </w:pPr>
      <w:r>
        <w:rPr>
          <w:rFonts w:ascii="Times New Roman" w:hAnsi="Times New Roman"/>
          <w:b w:val="0"/>
          <w:i/>
          <w:sz w:val="24"/>
        </w:rPr>
        <w:t>— Сохраняйте любые следы времени работы — сообщения, письма, отметки систем; табели работодателя часто «подчищены».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